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jc w:val="center"/>
        <w:rPr>
          <w:b/>
          <w:sz w:val="36"/>
        </w:rPr>
      </w:pPr>
      <w:r>
        <w:rPr>
          <w:b/>
          <w:sz w:val="36"/>
        </w:rPr>
        <w:t>Staatliches Amt für Landwirtschaft und Umwelt Mecklenburgische Seenplatte</w:t>
      </w:r>
    </w:p>
    <w:p>
      <w:pPr>
        <w:jc w:val="center"/>
        <w:rPr>
          <w:sz w:val="32"/>
        </w:rPr>
      </w:pPr>
    </w:p>
    <w:tbl>
      <w:tblPr>
        <w:tblW w:w="15168" w:type="dxa"/>
        <w:tblInd w:w="-10" w:type="dxa"/>
        <w:shd w:val="clear" w:color="auto" w:fill="D9D9D9" w:themeFill="background1" w:themeFillShade="D9"/>
        <w:tblCellMar>
          <w:left w:w="70" w:type="dxa"/>
          <w:right w:w="70" w:type="dxa"/>
        </w:tblCellMar>
        <w:tblLook w:val="04A0" w:firstRow="1" w:lastRow="0" w:firstColumn="1" w:lastColumn="0" w:noHBand="0" w:noVBand="1"/>
      </w:tblPr>
      <w:tblGrid>
        <w:gridCol w:w="15168"/>
      </w:tblGrid>
      <w:tr>
        <w:trPr>
          <w:trHeight w:val="750"/>
        </w:trPr>
        <w:tc>
          <w:tcPr>
            <w:tcW w:w="15168" w:type="dxa"/>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pPr>
              <w:spacing w:after="0" w:line="240" w:lineRule="auto"/>
              <w:jc w:val="center"/>
              <w:rPr>
                <w:b/>
                <w:sz w:val="32"/>
              </w:rPr>
            </w:pPr>
            <w:r>
              <w:rPr>
                <w:b/>
                <w:sz w:val="32"/>
              </w:rPr>
              <w:t xml:space="preserve">Allgemeine Vorprüfung </w:t>
            </w:r>
          </w:p>
          <w:p>
            <w:pPr>
              <w:spacing w:after="0" w:line="240" w:lineRule="auto"/>
              <w:jc w:val="center"/>
              <w:rPr>
                <w:sz w:val="32"/>
              </w:rPr>
            </w:pPr>
            <w:r>
              <w:rPr>
                <w:sz w:val="32"/>
              </w:rPr>
              <w:t xml:space="preserve">des Einzelfalls zur Feststellung der UVP-Pflicht nach § 7 Abs. 1 UVPG für die Errichtung und den Betrieb </w:t>
            </w:r>
          </w:p>
          <w:p>
            <w:pPr>
              <w:spacing w:after="0" w:line="240" w:lineRule="auto"/>
              <w:jc w:val="center"/>
              <w:rPr>
                <w:rFonts w:ascii="Calibri" w:eastAsia="Times New Roman" w:hAnsi="Calibri" w:cs="Times New Roman"/>
                <w:b/>
                <w:bCs/>
                <w:sz w:val="28"/>
                <w:szCs w:val="28"/>
                <w:lang w:eastAsia="de-DE"/>
              </w:rPr>
            </w:pPr>
            <w:r>
              <w:rPr>
                <w:b/>
                <w:sz w:val="32"/>
              </w:rPr>
              <w:t>einer Windenergieanlage im Windeignungsgebiet Völschow</w:t>
            </w:r>
          </w:p>
        </w:tc>
      </w:tr>
    </w:tbl>
    <w:p>
      <w:pPr>
        <w:jc w:val="center"/>
        <w:rPr>
          <w:sz w:val="32"/>
        </w:rPr>
      </w:pPr>
    </w:p>
    <w:p>
      <w:pPr>
        <w:jc w:val="center"/>
        <w:rPr>
          <w:sz w:val="32"/>
        </w:rPr>
      </w:pPr>
    </w:p>
    <w:tbl>
      <w:tblPr>
        <w:tblW w:w="6420" w:type="dxa"/>
        <w:jc w:val="center"/>
        <w:tblCellMar>
          <w:left w:w="70" w:type="dxa"/>
          <w:right w:w="70" w:type="dxa"/>
        </w:tblCellMar>
        <w:tblLook w:val="04A0" w:firstRow="1" w:lastRow="0" w:firstColumn="1" w:lastColumn="0" w:noHBand="0" w:noVBand="1"/>
      </w:tblPr>
      <w:tblGrid>
        <w:gridCol w:w="1840"/>
        <w:gridCol w:w="4580"/>
      </w:tblGrid>
      <w:tr>
        <w:trPr>
          <w:trHeight w:val="300"/>
          <w:jc w:val="center"/>
        </w:trPr>
        <w:tc>
          <w:tcPr>
            <w:tcW w:w="1840" w:type="dxa"/>
            <w:tcBorders>
              <w:top w:val="nil"/>
              <w:left w:val="nil"/>
              <w:bottom w:val="nil"/>
              <w:right w:val="nil"/>
            </w:tcBorders>
            <w:shd w:val="clear" w:color="auto" w:fill="auto"/>
            <w:vAlign w:val="center"/>
            <w:hideMark/>
          </w:tcPr>
          <w:p>
            <w:pPr>
              <w:spacing w:after="0" w:line="240" w:lineRule="auto"/>
              <w:rPr>
                <w:rFonts w:ascii="Calibri" w:eastAsia="Times New Roman" w:hAnsi="Calibri" w:cs="Times New Roman"/>
                <w:b/>
                <w:bCs/>
                <w:lang w:eastAsia="de-DE"/>
              </w:rPr>
            </w:pPr>
            <w:r>
              <w:rPr>
                <w:rFonts w:ascii="Calibri" w:eastAsia="Times New Roman" w:hAnsi="Calibri" w:cs="Times New Roman"/>
                <w:b/>
                <w:bCs/>
                <w:lang w:eastAsia="de-DE"/>
              </w:rPr>
              <w:t xml:space="preserve">Betriebsstätte: </w:t>
            </w:r>
          </w:p>
        </w:tc>
        <w:tc>
          <w:tcPr>
            <w:tcW w:w="4580" w:type="dxa"/>
            <w:tcBorders>
              <w:top w:val="nil"/>
              <w:left w:val="nil"/>
              <w:bottom w:val="nil"/>
              <w:right w:val="nil"/>
            </w:tcBorders>
            <w:shd w:val="clear" w:color="auto" w:fill="auto"/>
            <w:vAlign w:val="center"/>
            <w:hideMark/>
          </w:tcPr>
          <w:p>
            <w:pPr>
              <w:spacing w:after="0" w:line="240" w:lineRule="auto"/>
              <w:jc w:val="center"/>
              <w:rPr>
                <w:rFonts w:ascii="Calibri" w:eastAsia="Times New Roman" w:hAnsi="Calibri" w:cs="Times New Roman"/>
                <w:lang w:eastAsia="de-DE"/>
              </w:rPr>
            </w:pPr>
            <w:r>
              <w:rPr>
                <w:rFonts w:ascii="Calibri" w:eastAsia="Times New Roman" w:hAnsi="Calibri" w:cs="Times New Roman"/>
                <w:lang w:eastAsia="de-DE"/>
              </w:rPr>
              <w:t>StALU MS 51-571/1684-1/2020</w:t>
            </w:r>
          </w:p>
        </w:tc>
      </w:tr>
      <w:tr>
        <w:trPr>
          <w:trHeight w:val="900"/>
          <w:jc w:val="center"/>
        </w:trPr>
        <w:tc>
          <w:tcPr>
            <w:tcW w:w="1840" w:type="dxa"/>
            <w:tcBorders>
              <w:top w:val="nil"/>
              <w:left w:val="nil"/>
              <w:bottom w:val="nil"/>
              <w:right w:val="nil"/>
            </w:tcBorders>
            <w:shd w:val="clear" w:color="auto" w:fill="auto"/>
            <w:vAlign w:val="center"/>
            <w:hideMark/>
          </w:tcPr>
          <w:p>
            <w:pPr>
              <w:spacing w:after="0" w:line="240" w:lineRule="auto"/>
              <w:rPr>
                <w:rFonts w:ascii="Calibri" w:eastAsia="Times New Roman" w:hAnsi="Calibri" w:cs="Times New Roman"/>
                <w:b/>
                <w:bCs/>
                <w:lang w:eastAsia="de-DE"/>
              </w:rPr>
            </w:pPr>
            <w:r>
              <w:rPr>
                <w:rFonts w:ascii="Calibri" w:eastAsia="Times New Roman" w:hAnsi="Calibri" w:cs="Times New Roman"/>
                <w:b/>
                <w:bCs/>
                <w:lang w:eastAsia="de-DE"/>
              </w:rPr>
              <w:t>Antragsteller:</w:t>
            </w:r>
          </w:p>
        </w:tc>
        <w:tc>
          <w:tcPr>
            <w:tcW w:w="4580" w:type="dxa"/>
            <w:tcBorders>
              <w:top w:val="nil"/>
              <w:left w:val="nil"/>
              <w:bottom w:val="nil"/>
              <w:right w:val="nil"/>
            </w:tcBorders>
            <w:shd w:val="clear" w:color="auto" w:fill="auto"/>
            <w:vAlign w:val="center"/>
            <w:hideMark/>
          </w:tcPr>
          <w:p>
            <w:pPr>
              <w:spacing w:after="0" w:line="240" w:lineRule="auto"/>
              <w:jc w:val="center"/>
              <w:rPr>
                <w:rFonts w:ascii="Calibri" w:eastAsia="Times New Roman" w:hAnsi="Calibri" w:cs="Times New Roman"/>
                <w:lang w:eastAsia="de-DE"/>
              </w:rPr>
            </w:pPr>
            <w:r>
              <w:rPr>
                <w:rFonts w:ascii="Calibri" w:eastAsia="Times New Roman" w:hAnsi="Calibri" w:cs="Times New Roman"/>
                <w:lang w:eastAsia="de-DE"/>
              </w:rPr>
              <w:t>Peene-Wind GmbH</w:t>
            </w:r>
            <w:r>
              <w:rPr>
                <w:rFonts w:ascii="Calibri" w:eastAsia="Times New Roman" w:hAnsi="Calibri" w:cs="Times New Roman"/>
                <w:lang w:eastAsia="de-DE"/>
              </w:rPr>
              <w:br/>
              <w:t xml:space="preserve">Schlossweg 3, </w:t>
            </w:r>
            <w:r>
              <w:rPr>
                <w:rFonts w:ascii="Calibri" w:eastAsia="Times New Roman" w:hAnsi="Calibri" w:cs="Times New Roman"/>
                <w:lang w:eastAsia="de-DE"/>
              </w:rPr>
              <w:br/>
              <w:t>18516 Süderholz OT Griebenow</w:t>
            </w:r>
          </w:p>
        </w:tc>
      </w:tr>
      <w:tr>
        <w:trPr>
          <w:trHeight w:val="360"/>
          <w:jc w:val="center"/>
        </w:trPr>
        <w:tc>
          <w:tcPr>
            <w:tcW w:w="1840" w:type="dxa"/>
            <w:tcBorders>
              <w:top w:val="nil"/>
              <w:left w:val="nil"/>
              <w:bottom w:val="nil"/>
              <w:right w:val="nil"/>
            </w:tcBorders>
            <w:shd w:val="clear" w:color="auto" w:fill="auto"/>
            <w:vAlign w:val="center"/>
            <w:hideMark/>
          </w:tcPr>
          <w:p>
            <w:pPr>
              <w:spacing w:after="0" w:line="240" w:lineRule="auto"/>
              <w:rPr>
                <w:rFonts w:ascii="Calibri" w:eastAsia="Times New Roman" w:hAnsi="Calibri" w:cs="Times New Roman"/>
                <w:b/>
                <w:bCs/>
                <w:lang w:eastAsia="de-DE"/>
              </w:rPr>
            </w:pPr>
            <w:r>
              <w:rPr>
                <w:rFonts w:ascii="Calibri" w:eastAsia="Times New Roman" w:hAnsi="Calibri" w:cs="Times New Roman"/>
                <w:b/>
                <w:bCs/>
                <w:lang w:eastAsia="de-DE"/>
              </w:rPr>
              <w:t>Antrag vom:</w:t>
            </w:r>
          </w:p>
        </w:tc>
        <w:tc>
          <w:tcPr>
            <w:tcW w:w="4580" w:type="dxa"/>
            <w:tcBorders>
              <w:top w:val="nil"/>
              <w:left w:val="nil"/>
              <w:bottom w:val="nil"/>
              <w:right w:val="nil"/>
            </w:tcBorders>
            <w:shd w:val="clear" w:color="auto" w:fill="auto"/>
            <w:vAlign w:val="center"/>
            <w:hideMark/>
          </w:tcPr>
          <w:p>
            <w:pPr>
              <w:spacing w:after="0" w:line="240" w:lineRule="auto"/>
              <w:jc w:val="center"/>
              <w:rPr>
                <w:rFonts w:ascii="Calibri" w:eastAsia="Times New Roman" w:hAnsi="Calibri" w:cs="Times New Roman"/>
                <w:lang w:eastAsia="de-DE"/>
              </w:rPr>
            </w:pPr>
            <w:r>
              <w:rPr>
                <w:rFonts w:ascii="Calibri" w:eastAsia="Times New Roman" w:hAnsi="Calibri" w:cs="Times New Roman"/>
                <w:lang w:eastAsia="de-DE"/>
              </w:rPr>
              <w:t>14.01.2020 (PE 18.08.2020)</w:t>
            </w:r>
          </w:p>
        </w:tc>
      </w:tr>
      <w:tr>
        <w:trPr>
          <w:trHeight w:val="300"/>
          <w:jc w:val="center"/>
        </w:trPr>
        <w:tc>
          <w:tcPr>
            <w:tcW w:w="1840" w:type="dxa"/>
            <w:tcBorders>
              <w:top w:val="nil"/>
              <w:left w:val="nil"/>
              <w:bottom w:val="nil"/>
              <w:right w:val="nil"/>
            </w:tcBorders>
            <w:shd w:val="clear" w:color="auto" w:fill="auto"/>
            <w:vAlign w:val="center"/>
            <w:hideMark/>
          </w:tcPr>
          <w:p>
            <w:pPr>
              <w:spacing w:after="0" w:line="240" w:lineRule="auto"/>
              <w:rPr>
                <w:rFonts w:ascii="Calibri" w:eastAsia="Times New Roman" w:hAnsi="Calibri" w:cs="Times New Roman"/>
                <w:b/>
                <w:bCs/>
                <w:lang w:eastAsia="de-DE"/>
              </w:rPr>
            </w:pPr>
            <w:r>
              <w:rPr>
                <w:rFonts w:ascii="Calibri" w:eastAsia="Times New Roman" w:hAnsi="Calibri" w:cs="Times New Roman"/>
                <w:b/>
                <w:bCs/>
                <w:lang w:eastAsia="de-DE"/>
              </w:rPr>
              <w:t>Projekt:</w:t>
            </w:r>
          </w:p>
        </w:tc>
        <w:tc>
          <w:tcPr>
            <w:tcW w:w="4580" w:type="dxa"/>
            <w:tcBorders>
              <w:top w:val="nil"/>
              <w:left w:val="nil"/>
              <w:bottom w:val="nil"/>
              <w:right w:val="nil"/>
            </w:tcBorders>
            <w:shd w:val="clear" w:color="auto" w:fill="auto"/>
            <w:vAlign w:val="center"/>
            <w:hideMark/>
          </w:tcPr>
          <w:p>
            <w:pPr>
              <w:spacing w:after="0" w:line="240" w:lineRule="auto"/>
              <w:jc w:val="center"/>
              <w:rPr>
                <w:rFonts w:ascii="Calibri" w:eastAsia="Times New Roman" w:hAnsi="Calibri" w:cs="Times New Roman"/>
                <w:lang w:eastAsia="de-DE"/>
              </w:rPr>
            </w:pPr>
            <w:r>
              <w:rPr>
                <w:rFonts w:ascii="Calibri" w:eastAsia="Times New Roman" w:hAnsi="Calibri" w:cs="Times New Roman"/>
                <w:lang w:eastAsia="de-DE"/>
              </w:rPr>
              <w:t>1 WEA Enercon E-147 EP5 E2</w:t>
            </w:r>
          </w:p>
        </w:tc>
      </w:tr>
      <w:tr>
        <w:trPr>
          <w:trHeight w:val="300"/>
          <w:jc w:val="center"/>
        </w:trPr>
        <w:tc>
          <w:tcPr>
            <w:tcW w:w="1840" w:type="dxa"/>
            <w:tcBorders>
              <w:top w:val="nil"/>
              <w:left w:val="nil"/>
              <w:bottom w:val="nil"/>
              <w:right w:val="nil"/>
            </w:tcBorders>
            <w:shd w:val="clear" w:color="auto" w:fill="auto"/>
            <w:vAlign w:val="center"/>
            <w:hideMark/>
          </w:tcPr>
          <w:p>
            <w:pPr>
              <w:spacing w:after="0" w:line="240" w:lineRule="auto"/>
              <w:rPr>
                <w:rFonts w:ascii="Calibri" w:eastAsia="Times New Roman" w:hAnsi="Calibri" w:cs="Times New Roman"/>
                <w:b/>
                <w:bCs/>
                <w:lang w:eastAsia="de-DE"/>
              </w:rPr>
            </w:pPr>
            <w:r>
              <w:rPr>
                <w:rFonts w:ascii="Calibri" w:eastAsia="Times New Roman" w:hAnsi="Calibri" w:cs="Times New Roman"/>
                <w:b/>
                <w:bCs/>
                <w:lang w:eastAsia="de-DE"/>
              </w:rPr>
              <w:t>Kreis:</w:t>
            </w:r>
          </w:p>
        </w:tc>
        <w:tc>
          <w:tcPr>
            <w:tcW w:w="4580" w:type="dxa"/>
            <w:tcBorders>
              <w:top w:val="nil"/>
              <w:left w:val="nil"/>
              <w:bottom w:val="nil"/>
              <w:right w:val="nil"/>
            </w:tcBorders>
            <w:shd w:val="clear" w:color="auto" w:fill="auto"/>
            <w:vAlign w:val="center"/>
            <w:hideMark/>
          </w:tcPr>
          <w:p>
            <w:pPr>
              <w:spacing w:after="0" w:line="240" w:lineRule="auto"/>
              <w:jc w:val="center"/>
              <w:rPr>
                <w:rFonts w:ascii="Calibri" w:eastAsia="Times New Roman" w:hAnsi="Calibri" w:cs="Times New Roman"/>
                <w:lang w:eastAsia="de-DE"/>
              </w:rPr>
            </w:pPr>
            <w:r>
              <w:rPr>
                <w:rFonts w:ascii="Calibri" w:eastAsia="Times New Roman" w:hAnsi="Calibri" w:cs="Times New Roman"/>
                <w:lang w:eastAsia="de-DE"/>
              </w:rPr>
              <w:t>Landkreis Vorpommern-Greifswald</w:t>
            </w:r>
          </w:p>
        </w:tc>
      </w:tr>
      <w:tr>
        <w:trPr>
          <w:trHeight w:val="300"/>
          <w:jc w:val="center"/>
        </w:trPr>
        <w:tc>
          <w:tcPr>
            <w:tcW w:w="1840" w:type="dxa"/>
            <w:tcBorders>
              <w:top w:val="nil"/>
              <w:left w:val="nil"/>
              <w:bottom w:val="nil"/>
              <w:right w:val="nil"/>
            </w:tcBorders>
            <w:shd w:val="clear" w:color="auto" w:fill="auto"/>
            <w:vAlign w:val="center"/>
            <w:hideMark/>
          </w:tcPr>
          <w:p>
            <w:pPr>
              <w:spacing w:after="0" w:line="240" w:lineRule="auto"/>
              <w:rPr>
                <w:rFonts w:ascii="Calibri" w:eastAsia="Times New Roman" w:hAnsi="Calibri" w:cs="Times New Roman"/>
                <w:b/>
                <w:bCs/>
                <w:lang w:eastAsia="de-DE"/>
              </w:rPr>
            </w:pPr>
            <w:r>
              <w:rPr>
                <w:rFonts w:ascii="Calibri" w:eastAsia="Times New Roman" w:hAnsi="Calibri" w:cs="Times New Roman"/>
                <w:b/>
                <w:bCs/>
                <w:lang w:eastAsia="de-DE"/>
              </w:rPr>
              <w:t>Stadt:</w:t>
            </w:r>
          </w:p>
        </w:tc>
        <w:tc>
          <w:tcPr>
            <w:tcW w:w="4580" w:type="dxa"/>
            <w:tcBorders>
              <w:top w:val="nil"/>
              <w:left w:val="nil"/>
              <w:bottom w:val="nil"/>
              <w:right w:val="nil"/>
            </w:tcBorders>
            <w:shd w:val="clear" w:color="auto" w:fill="auto"/>
            <w:vAlign w:val="center"/>
            <w:hideMark/>
          </w:tcPr>
          <w:p>
            <w:pPr>
              <w:spacing w:after="0" w:line="240" w:lineRule="auto"/>
              <w:jc w:val="center"/>
              <w:rPr>
                <w:rFonts w:ascii="Calibri" w:eastAsia="Times New Roman" w:hAnsi="Calibri" w:cs="Times New Roman"/>
                <w:lang w:eastAsia="de-DE"/>
              </w:rPr>
            </w:pPr>
            <w:r>
              <w:rPr>
                <w:rFonts w:ascii="Calibri" w:eastAsia="Times New Roman" w:hAnsi="Calibri" w:cs="Times New Roman"/>
                <w:lang w:eastAsia="de-DE"/>
              </w:rPr>
              <w:t>17129 Völschow</w:t>
            </w:r>
          </w:p>
        </w:tc>
      </w:tr>
      <w:tr>
        <w:trPr>
          <w:trHeight w:val="600"/>
          <w:jc w:val="center"/>
        </w:trPr>
        <w:tc>
          <w:tcPr>
            <w:tcW w:w="1840" w:type="dxa"/>
            <w:tcBorders>
              <w:top w:val="nil"/>
              <w:left w:val="nil"/>
              <w:bottom w:val="nil"/>
              <w:right w:val="nil"/>
            </w:tcBorders>
            <w:shd w:val="clear" w:color="auto" w:fill="auto"/>
            <w:vAlign w:val="center"/>
          </w:tcPr>
          <w:p>
            <w:pPr>
              <w:spacing w:after="0" w:line="240" w:lineRule="auto"/>
              <w:rPr>
                <w:rFonts w:ascii="Calibri" w:eastAsia="Times New Roman" w:hAnsi="Calibri" w:cs="Times New Roman"/>
                <w:b/>
                <w:bCs/>
                <w:lang w:eastAsia="de-DE"/>
              </w:rPr>
            </w:pPr>
            <w:r>
              <w:rPr>
                <w:rFonts w:ascii="Calibri" w:eastAsia="Times New Roman" w:hAnsi="Calibri" w:cs="Times New Roman"/>
                <w:b/>
                <w:bCs/>
                <w:lang w:eastAsia="de-DE"/>
              </w:rPr>
              <w:t>Anlagenstandort:</w:t>
            </w:r>
          </w:p>
        </w:tc>
        <w:tc>
          <w:tcPr>
            <w:tcW w:w="4580" w:type="dxa"/>
            <w:tcBorders>
              <w:top w:val="nil"/>
              <w:left w:val="nil"/>
              <w:bottom w:val="nil"/>
              <w:right w:val="nil"/>
            </w:tcBorders>
            <w:shd w:val="clear" w:color="auto" w:fill="auto"/>
            <w:vAlign w:val="center"/>
          </w:tcPr>
          <w:p>
            <w:pPr>
              <w:spacing w:after="0" w:line="240" w:lineRule="auto"/>
              <w:jc w:val="center"/>
              <w:rPr>
                <w:rFonts w:ascii="Calibri" w:eastAsia="Times New Roman" w:hAnsi="Calibri" w:cs="Times New Roman"/>
                <w:lang w:eastAsia="de-DE"/>
              </w:rPr>
            </w:pPr>
            <w:r>
              <w:rPr>
                <w:rFonts w:ascii="Calibri" w:eastAsia="Times New Roman" w:hAnsi="Calibri" w:cs="Times New Roman"/>
                <w:lang w:eastAsia="de-DE"/>
              </w:rPr>
              <w:t>Gemarkung Völschow, Flur 1, Flurstück 75/3</w:t>
            </w:r>
          </w:p>
        </w:tc>
      </w:tr>
      <w:tr>
        <w:trPr>
          <w:trHeight w:val="600"/>
          <w:jc w:val="center"/>
        </w:trPr>
        <w:tc>
          <w:tcPr>
            <w:tcW w:w="1840" w:type="dxa"/>
            <w:tcBorders>
              <w:top w:val="nil"/>
              <w:left w:val="nil"/>
              <w:bottom w:val="double" w:sz="6" w:space="0" w:color="auto"/>
              <w:right w:val="nil"/>
            </w:tcBorders>
            <w:shd w:val="clear" w:color="auto" w:fill="auto"/>
            <w:vAlign w:val="center"/>
            <w:hideMark/>
          </w:tcPr>
          <w:p>
            <w:pPr>
              <w:spacing w:after="0" w:line="240" w:lineRule="auto"/>
              <w:rPr>
                <w:rFonts w:ascii="Calibri" w:eastAsia="Times New Roman" w:hAnsi="Calibri" w:cs="Times New Roman"/>
                <w:b/>
                <w:bCs/>
                <w:lang w:eastAsia="de-DE"/>
              </w:rPr>
            </w:pPr>
            <w:r>
              <w:rPr>
                <w:rFonts w:ascii="Calibri" w:eastAsia="Times New Roman" w:hAnsi="Calibri" w:cs="Times New Roman"/>
                <w:b/>
                <w:bCs/>
                <w:lang w:eastAsia="de-DE"/>
              </w:rPr>
              <w:t>Bearbeitet durch:</w:t>
            </w:r>
          </w:p>
        </w:tc>
        <w:tc>
          <w:tcPr>
            <w:tcW w:w="4580" w:type="dxa"/>
            <w:tcBorders>
              <w:top w:val="nil"/>
              <w:left w:val="nil"/>
              <w:bottom w:val="double" w:sz="6" w:space="0" w:color="auto"/>
              <w:right w:val="nil"/>
            </w:tcBorders>
            <w:shd w:val="clear" w:color="auto" w:fill="auto"/>
            <w:vAlign w:val="center"/>
            <w:hideMark/>
          </w:tcPr>
          <w:p>
            <w:pPr>
              <w:spacing w:after="0" w:line="240" w:lineRule="auto"/>
              <w:jc w:val="center"/>
              <w:rPr>
                <w:rFonts w:ascii="Calibri" w:eastAsia="Times New Roman" w:hAnsi="Calibri" w:cs="Times New Roman"/>
                <w:lang w:eastAsia="de-DE"/>
              </w:rPr>
            </w:pPr>
            <w:r>
              <w:rPr>
                <w:rFonts w:ascii="Calibri" w:eastAsia="Times New Roman" w:hAnsi="Calibri" w:cs="Times New Roman"/>
                <w:lang w:eastAsia="de-DE"/>
              </w:rPr>
              <w:t>Staatliches Amt für Landwirtschaft und Umwelt Mecklenburgische Seenplatte, Dezernat 51</w:t>
            </w:r>
          </w:p>
        </w:tc>
      </w:tr>
    </w:tbl>
    <w:p>
      <w:pPr>
        <w:pStyle w:val="KeinLeerraum"/>
        <w:rPr>
          <w:sz w:val="10"/>
        </w:rPr>
      </w:pPr>
    </w:p>
    <w:p>
      <w:pPr>
        <w:pStyle w:val="KeinLeerraum"/>
        <w:rPr>
          <w:sz w:val="10"/>
        </w:rPr>
      </w:pPr>
    </w:p>
    <w:p>
      <w:pPr>
        <w:pStyle w:val="KeinLeerraum"/>
        <w:rPr>
          <w:sz w:val="10"/>
        </w:rPr>
      </w:pPr>
    </w:p>
    <w:p>
      <w:pPr>
        <w:pStyle w:val="KeinLeerraum"/>
        <w:rPr>
          <w:sz w:val="10"/>
        </w:rPr>
      </w:pPr>
    </w:p>
    <w:p>
      <w:pPr>
        <w:pStyle w:val="KeinLeerraum"/>
        <w:rPr>
          <w:sz w:val="10"/>
        </w:rPr>
      </w:pPr>
    </w:p>
    <w:p>
      <w:pPr>
        <w:pStyle w:val="KeinLeerraum"/>
        <w:rPr>
          <w:sz w:val="10"/>
        </w:rPr>
      </w:pPr>
    </w:p>
    <w:p>
      <w:pPr>
        <w:pStyle w:val="KeinLeerraum"/>
        <w:rPr>
          <w:sz w:val="10"/>
        </w:rPr>
      </w:pPr>
    </w:p>
    <w:p>
      <w:pPr>
        <w:pStyle w:val="KeinLeerraum"/>
        <w:rPr>
          <w:sz w:val="10"/>
        </w:rPr>
      </w:pPr>
    </w:p>
    <w:p>
      <w:pPr>
        <w:pStyle w:val="KeinLeerraum"/>
        <w:rPr>
          <w:sz w:val="10"/>
        </w:rPr>
      </w:pPr>
    </w:p>
    <w:p>
      <w:pPr>
        <w:pStyle w:val="KeinLeerraum"/>
        <w:rPr>
          <w:sz w:val="10"/>
        </w:rPr>
      </w:pPr>
    </w:p>
    <w:p>
      <w:pPr>
        <w:pStyle w:val="KeinLeerraum"/>
        <w:rPr>
          <w:sz w:val="10"/>
        </w:rPr>
      </w:pPr>
    </w:p>
    <w:p>
      <w:pPr>
        <w:pStyle w:val="KeinLeerraum"/>
        <w:rPr>
          <w:sz w:val="10"/>
        </w:rPr>
      </w:pPr>
    </w:p>
    <w:p>
      <w:pPr>
        <w:pStyle w:val="KeinLeerraum"/>
        <w:rPr>
          <w:sz w:val="10"/>
        </w:rPr>
      </w:pPr>
    </w:p>
    <w:p>
      <w:pPr>
        <w:pStyle w:val="KeinLeerraum"/>
        <w:rPr>
          <w:sz w:val="10"/>
        </w:rPr>
      </w:pPr>
    </w:p>
    <w:p>
      <w:pPr>
        <w:pStyle w:val="KeinLeerraum"/>
        <w:rPr>
          <w:sz w:val="10"/>
        </w:rPr>
      </w:pPr>
    </w:p>
    <w:p>
      <w:pPr>
        <w:rPr>
          <w:sz w:val="10"/>
        </w:rPr>
      </w:pPr>
      <w:r>
        <w:rPr>
          <w:sz w:val="10"/>
        </w:rPr>
        <w:br w:type="page"/>
      </w:r>
    </w:p>
    <w:p>
      <w:pPr>
        <w:pStyle w:val="KeinLeerraum"/>
        <w:rPr>
          <w:sz w:val="10"/>
        </w:rPr>
      </w:pPr>
    </w:p>
    <w:p>
      <w:pPr>
        <w:pStyle w:val="KeinLeerraum"/>
        <w:rPr>
          <w:sz w:val="10"/>
        </w:rPr>
      </w:pPr>
    </w:p>
    <w:tbl>
      <w:tblPr>
        <w:tblW w:w="15168" w:type="dxa"/>
        <w:tblInd w:w="-10" w:type="dxa"/>
        <w:tblCellMar>
          <w:left w:w="70" w:type="dxa"/>
          <w:right w:w="70" w:type="dxa"/>
        </w:tblCellMar>
        <w:tblLook w:val="04A0" w:firstRow="1" w:lastRow="0" w:firstColumn="1" w:lastColumn="0" w:noHBand="0" w:noVBand="1"/>
      </w:tblPr>
      <w:tblGrid>
        <w:gridCol w:w="15168"/>
      </w:tblGrid>
      <w:tr>
        <w:trPr>
          <w:trHeight w:val="540"/>
        </w:trPr>
        <w:tc>
          <w:tcPr>
            <w:tcW w:w="15168" w:type="dxa"/>
            <w:tcBorders>
              <w:top w:val="single" w:sz="8" w:space="0" w:color="auto"/>
              <w:left w:val="single" w:sz="8" w:space="0" w:color="auto"/>
              <w:bottom w:val="single" w:sz="8" w:space="0" w:color="auto"/>
              <w:right w:val="single" w:sz="8" w:space="0" w:color="000000"/>
            </w:tcBorders>
            <w:shd w:val="clear" w:color="000000" w:fill="D9D9D9"/>
            <w:vAlign w:val="center"/>
            <w:hideMark/>
          </w:tcPr>
          <w:p>
            <w:pPr>
              <w:spacing w:after="0" w:line="240" w:lineRule="auto"/>
              <w:rPr>
                <w:rFonts w:ascii="Calibri" w:eastAsia="Times New Roman" w:hAnsi="Calibri" w:cs="Times New Roman"/>
                <w:b/>
                <w:bCs/>
                <w:sz w:val="24"/>
                <w:szCs w:val="24"/>
                <w:lang w:eastAsia="de-DE"/>
              </w:rPr>
            </w:pPr>
            <w:r>
              <w:rPr>
                <w:rFonts w:ascii="Calibri" w:eastAsia="Times New Roman" w:hAnsi="Calibri" w:cs="Times New Roman"/>
                <w:b/>
                <w:bCs/>
                <w:sz w:val="24"/>
                <w:szCs w:val="24"/>
                <w:lang w:eastAsia="de-DE"/>
              </w:rPr>
              <w:t>1</w:t>
            </w:r>
            <w:r>
              <w:rPr>
                <w:rFonts w:ascii="Calibri" w:eastAsia="Times New Roman" w:hAnsi="Calibri" w:cs="Times New Roman"/>
                <w:b/>
                <w:bCs/>
                <w:sz w:val="24"/>
                <w:lang w:eastAsia="de-DE"/>
              </w:rPr>
              <w:t xml:space="preserve">. Merkmale der Vorhaben (nach </w:t>
            </w:r>
            <w:r>
              <w:rPr>
                <w:rFonts w:ascii="Calibri" w:eastAsia="Times New Roman" w:hAnsi="Calibri" w:cs="Times New Roman"/>
                <w:b/>
                <w:bCs/>
                <w:sz w:val="24"/>
                <w:szCs w:val="24"/>
                <w:lang w:eastAsia="de-DE"/>
              </w:rPr>
              <w:t>Anlage 3 des UVPG)</w:t>
            </w:r>
          </w:p>
          <w:p>
            <w:pPr>
              <w:spacing w:after="0" w:line="240" w:lineRule="auto"/>
              <w:rPr>
                <w:rFonts w:ascii="Calibri" w:eastAsia="Times New Roman" w:hAnsi="Calibri" w:cs="Times New Roman"/>
                <w:b/>
                <w:bCs/>
                <w:sz w:val="24"/>
                <w:szCs w:val="24"/>
                <w:lang w:eastAsia="de-DE"/>
              </w:rPr>
            </w:pPr>
          </w:p>
        </w:tc>
      </w:tr>
    </w:tbl>
    <w:tbl>
      <w:tblPr>
        <w:tblStyle w:val="Tabellenraster"/>
        <w:tblW w:w="15163" w:type="dxa"/>
        <w:tblLook w:val="04A0" w:firstRow="1" w:lastRow="0" w:firstColumn="1" w:lastColumn="0" w:noHBand="0" w:noVBand="1"/>
      </w:tblPr>
      <w:tblGrid>
        <w:gridCol w:w="3539"/>
        <w:gridCol w:w="11624"/>
      </w:tblGrid>
      <w:tr>
        <w:tc>
          <w:tcPr>
            <w:tcW w:w="3539" w:type="dxa"/>
            <w:shd w:val="clear" w:color="auto" w:fill="F2F2F2" w:themeFill="background1" w:themeFillShade="F2"/>
          </w:tcPr>
          <w:p>
            <w:pPr>
              <w:rPr>
                <w:rFonts w:ascii="Arial" w:hAnsi="Arial" w:cs="Arial"/>
                <w:sz w:val="24"/>
              </w:rPr>
            </w:pPr>
            <w:r>
              <w:rPr>
                <w:rFonts w:ascii="Calibri" w:hAnsi="Calibri" w:cs="Calibri"/>
                <w:b/>
                <w:bCs/>
              </w:rPr>
              <w:t>Wirkfaktoren</w:t>
            </w:r>
          </w:p>
        </w:tc>
        <w:tc>
          <w:tcPr>
            <w:tcW w:w="11624" w:type="dxa"/>
            <w:shd w:val="clear" w:color="auto" w:fill="F2F2F2" w:themeFill="background1" w:themeFillShade="F2"/>
          </w:tcPr>
          <w:p>
            <w:pPr>
              <w:rPr>
                <w:rFonts w:ascii="Calibri" w:eastAsia="Times New Roman" w:hAnsi="Calibri" w:cs="Times New Roman"/>
                <w:bCs/>
                <w:sz w:val="20"/>
                <w:lang w:eastAsia="de-DE"/>
              </w:rPr>
            </w:pPr>
            <w:r>
              <w:rPr>
                <w:rFonts w:ascii="Calibri" w:eastAsia="Times New Roman" w:hAnsi="Calibri" w:cs="Times New Roman"/>
                <w:bCs/>
                <w:sz w:val="20"/>
                <w:lang w:eastAsia="de-DE"/>
              </w:rPr>
              <w:t xml:space="preserve">Wirkfaktoren sind Auswirkungen von Anlagen, die Einfluss auf die Umgebung haben können. Auswirkungen können anlagebedingt, baubedingt, betriebsbedingt oder durch Havarien aufgrund eines nicht ordnungsgemäßen Zustandes oder Betriebs der Anlage entstehen. Baubedingte Auswirkungen entstehen z.B. durch die Baufeldfreimachung, die Errichtung von Zufahrten, Befahrung der Fläche mit schweren Baufahrzeugen oder durch die allgemeine Bautätigkeit. Sie sind temporär und beschränken sich auf die Bauphase der Anlagen. Anlagebedingte Umweltauswirkungen sind während der gesamten Betriebszeit der Anlagen möglich. Hierzu zählen z.B. die Wirkungen auf den Boden durch die Fundamente, Kranstellflächen oder die Zufahrtswege. Auch die Anlagen selbst erzeugen Wirkungen wie z.B. visuelle Wirkungen auf das Landschaftsbild oder </w:t>
            </w:r>
            <w:proofErr w:type="spellStart"/>
            <w:r>
              <w:rPr>
                <w:rFonts w:ascii="Calibri" w:eastAsia="Times New Roman" w:hAnsi="Calibri" w:cs="Times New Roman"/>
                <w:bCs/>
                <w:sz w:val="20"/>
                <w:lang w:eastAsia="de-DE"/>
              </w:rPr>
              <w:t>Scheuchwirkungen</w:t>
            </w:r>
            <w:proofErr w:type="spellEnd"/>
            <w:r>
              <w:rPr>
                <w:rFonts w:ascii="Calibri" w:eastAsia="Times New Roman" w:hAnsi="Calibri" w:cs="Times New Roman"/>
                <w:bCs/>
                <w:sz w:val="20"/>
                <w:lang w:eastAsia="de-DE"/>
              </w:rPr>
              <w:t xml:space="preserve"> für Tiere. Betriebsbedingte Wirkungen sind Umweltauswirkungen, die mit dem Betrieb der Anlage unmittelbar verbunden sind. Hierzu zählen insbesondere akustische Wirkungen (Schall), Wirkungen durch Schattenwurf, oder Kollisionsgefährdung aufgrund rotierender Elemente (Rotoren). Im </w:t>
            </w:r>
            <w:proofErr w:type="spellStart"/>
            <w:r>
              <w:rPr>
                <w:rFonts w:ascii="Calibri" w:eastAsia="Times New Roman" w:hAnsi="Calibri" w:cs="Times New Roman"/>
                <w:bCs/>
                <w:sz w:val="20"/>
                <w:lang w:eastAsia="de-DE"/>
              </w:rPr>
              <w:t>Havariefall</w:t>
            </w:r>
            <w:proofErr w:type="spellEnd"/>
            <w:r>
              <w:rPr>
                <w:rFonts w:ascii="Calibri" w:eastAsia="Times New Roman" w:hAnsi="Calibri" w:cs="Times New Roman"/>
                <w:bCs/>
                <w:sz w:val="20"/>
                <w:lang w:eastAsia="de-DE"/>
              </w:rPr>
              <w:t xml:space="preserve"> kann eine ungewollte Schadstoffemission z.B. durch Brand oder die Freisetzung von Betriebsmitteln z.B. Schmierstoffe entstehen.</w:t>
            </w:r>
          </w:p>
        </w:tc>
      </w:tr>
      <w:tr>
        <w:tc>
          <w:tcPr>
            <w:tcW w:w="3539" w:type="dxa"/>
            <w:shd w:val="clear" w:color="auto" w:fill="F2F2F2" w:themeFill="background1" w:themeFillShade="F2"/>
          </w:tcPr>
          <w:p>
            <w:pPr>
              <w:tabs>
                <w:tab w:val="left" w:pos="1020"/>
              </w:tabs>
              <w:rPr>
                <w:rFonts w:ascii="Arial" w:hAnsi="Arial" w:cs="Arial"/>
                <w:sz w:val="24"/>
              </w:rPr>
            </w:pPr>
            <w:r>
              <w:rPr>
                <w:rFonts w:ascii="Arial" w:hAnsi="Arial" w:cs="Arial"/>
                <w:sz w:val="24"/>
              </w:rPr>
              <w:tab/>
            </w:r>
          </w:p>
          <w:p>
            <w:pPr>
              <w:rPr>
                <w:rFonts w:ascii="Calibri" w:hAnsi="Calibri" w:cs="Calibri"/>
                <w:b/>
                <w:bCs/>
              </w:rPr>
            </w:pPr>
            <w:r>
              <w:rPr>
                <w:rFonts w:ascii="Calibri" w:hAnsi="Calibri" w:cs="Calibri"/>
                <w:b/>
                <w:bCs/>
              </w:rPr>
              <w:t>Festlegung der Untersuchungsräume</w:t>
            </w:r>
          </w:p>
          <w:p>
            <w:pPr>
              <w:tabs>
                <w:tab w:val="left" w:pos="1020"/>
              </w:tabs>
              <w:rPr>
                <w:rFonts w:ascii="Arial" w:hAnsi="Arial" w:cs="Arial"/>
                <w:sz w:val="24"/>
              </w:rPr>
            </w:pPr>
          </w:p>
        </w:tc>
        <w:tc>
          <w:tcPr>
            <w:tcW w:w="11624" w:type="dxa"/>
            <w:shd w:val="clear" w:color="auto" w:fill="F2F2F2" w:themeFill="background1" w:themeFillShade="F2"/>
          </w:tcPr>
          <w:p>
            <w:pPr>
              <w:rPr>
                <w:rFonts w:ascii="Calibri" w:eastAsia="Times New Roman" w:hAnsi="Calibri" w:cs="Times New Roman"/>
                <w:bCs/>
                <w:sz w:val="20"/>
                <w:lang w:eastAsia="de-DE"/>
              </w:rPr>
            </w:pPr>
            <w:r>
              <w:rPr>
                <w:rFonts w:ascii="Calibri" w:eastAsia="Times New Roman" w:hAnsi="Calibri" w:cs="Times New Roman"/>
                <w:bCs/>
                <w:sz w:val="20"/>
                <w:lang w:eastAsia="de-DE"/>
              </w:rPr>
              <w:t xml:space="preserve">Für die Abschätzung des vorhabenspezifischen Besorgnispotenzials auf die untersuchten Schutzgüter ist es erforderlich, dass von der Genehmigungsbehörde ein Untersuchungsraum definiert wird, der den Prüfumfang adäquat eingrenzt. Bezogen wurde sich auf die nach Einschätzung des StALU MS maximalen Reichweiten der Wirkfaktoren des Vorhabens die zu erwarten sind. Zur Eingrenzung des Untersuchungsgebietes werden folgende Untersuchungsräume bestimmt (untergliedert in die für diese allgemeine Vorprüfung des Einzelfalls relevanten Untersuchungsgegenstände): </w:t>
            </w:r>
          </w:p>
          <w:p>
            <w:pPr>
              <w:rPr>
                <w:rFonts w:ascii="Calibri" w:eastAsia="Times New Roman" w:hAnsi="Calibri" w:cs="Times New Roman"/>
                <w:bCs/>
                <w:sz w:val="20"/>
                <w:lang w:eastAsia="de-DE"/>
              </w:rPr>
            </w:pPr>
            <w:r>
              <w:rPr>
                <w:rFonts w:ascii="Calibri" w:eastAsia="Times New Roman" w:hAnsi="Calibri" w:cs="Times New Roman"/>
                <w:bCs/>
                <w:sz w:val="20"/>
                <w:lang w:eastAsia="de-DE"/>
              </w:rPr>
              <w:t xml:space="preserve">- </w:t>
            </w:r>
            <w:r>
              <w:rPr>
                <w:rFonts w:ascii="Calibri" w:eastAsia="Times New Roman" w:hAnsi="Calibri" w:cs="Times New Roman"/>
                <w:b/>
                <w:bCs/>
                <w:sz w:val="20"/>
                <w:lang w:eastAsia="de-DE"/>
              </w:rPr>
              <w:t>Boden, Wasser:</w:t>
            </w:r>
            <w:r>
              <w:rPr>
                <w:rFonts w:ascii="Calibri" w:eastAsia="Times New Roman" w:hAnsi="Calibri" w:cs="Times New Roman"/>
                <w:bCs/>
                <w:sz w:val="20"/>
                <w:lang w:eastAsia="de-DE"/>
              </w:rPr>
              <w:t xml:space="preserve"> Eingriffsfläche zzgl. 200m (Umfallhöhe, Rotorbereich)</w:t>
            </w:r>
          </w:p>
          <w:p>
            <w:pPr>
              <w:rPr>
                <w:rFonts w:ascii="Calibri" w:eastAsia="Times New Roman" w:hAnsi="Calibri" w:cs="Times New Roman"/>
                <w:bCs/>
                <w:sz w:val="20"/>
                <w:lang w:eastAsia="de-DE"/>
              </w:rPr>
            </w:pPr>
            <w:r>
              <w:rPr>
                <w:rFonts w:ascii="Calibri" w:eastAsia="Times New Roman" w:hAnsi="Calibri" w:cs="Times New Roman"/>
                <w:bCs/>
                <w:sz w:val="20"/>
                <w:lang w:eastAsia="de-DE"/>
              </w:rPr>
              <w:t xml:space="preserve">- </w:t>
            </w:r>
            <w:r>
              <w:rPr>
                <w:rFonts w:ascii="Calibri" w:eastAsia="Times New Roman" w:hAnsi="Calibri" w:cs="Times New Roman"/>
                <w:b/>
                <w:bCs/>
                <w:sz w:val="20"/>
                <w:lang w:eastAsia="de-DE"/>
              </w:rPr>
              <w:t>Pflanzen/Biologische Vielfalt/Biotope</w:t>
            </w:r>
            <w:r>
              <w:rPr>
                <w:rFonts w:ascii="Calibri" w:eastAsia="Times New Roman" w:hAnsi="Calibri" w:cs="Times New Roman"/>
                <w:bCs/>
                <w:sz w:val="20"/>
                <w:lang w:eastAsia="de-DE"/>
              </w:rPr>
              <w:t xml:space="preserve">: 500 m </w:t>
            </w:r>
          </w:p>
          <w:p>
            <w:pPr>
              <w:rPr>
                <w:rFonts w:ascii="Calibri" w:eastAsia="Times New Roman" w:hAnsi="Calibri" w:cs="Times New Roman"/>
                <w:bCs/>
                <w:sz w:val="20"/>
                <w:lang w:eastAsia="de-DE"/>
              </w:rPr>
            </w:pPr>
            <w:r>
              <w:rPr>
                <w:rFonts w:ascii="Calibri" w:eastAsia="Times New Roman" w:hAnsi="Calibri" w:cs="Times New Roman"/>
                <w:bCs/>
                <w:sz w:val="20"/>
                <w:lang w:eastAsia="de-DE"/>
              </w:rPr>
              <w:t xml:space="preserve">- </w:t>
            </w:r>
            <w:r>
              <w:rPr>
                <w:rFonts w:ascii="Calibri" w:eastAsia="Times New Roman" w:hAnsi="Calibri" w:cs="Times New Roman"/>
                <w:b/>
                <w:bCs/>
                <w:sz w:val="20"/>
                <w:lang w:eastAsia="de-DE"/>
              </w:rPr>
              <w:t>Mensch</w:t>
            </w:r>
            <w:r>
              <w:rPr>
                <w:rFonts w:ascii="Calibri" w:eastAsia="Times New Roman" w:hAnsi="Calibri" w:cs="Times New Roman"/>
                <w:bCs/>
                <w:sz w:val="20"/>
                <w:lang w:eastAsia="de-DE"/>
              </w:rPr>
              <w:t>: Einzelfallbezogen/jeweilige Immissionsorte für Schattenwurf und Schall nach Schattenwurfrichtlinie bzw. TA Lärm, optisch Bedrängende Wirkung bei Abständen zur Wohnbebauung unterhalb der 3-fachen Höhe der WEA</w:t>
            </w:r>
          </w:p>
          <w:p>
            <w:pPr>
              <w:rPr>
                <w:rFonts w:ascii="Calibri" w:eastAsia="Times New Roman" w:hAnsi="Calibri" w:cs="Times New Roman"/>
                <w:bCs/>
                <w:sz w:val="20"/>
                <w:lang w:eastAsia="de-DE"/>
              </w:rPr>
            </w:pPr>
            <w:r>
              <w:rPr>
                <w:rFonts w:ascii="Calibri" w:eastAsia="Times New Roman" w:hAnsi="Calibri" w:cs="Times New Roman"/>
                <w:bCs/>
                <w:sz w:val="20"/>
                <w:lang w:eastAsia="de-DE"/>
              </w:rPr>
              <w:t xml:space="preserve">- </w:t>
            </w:r>
            <w:r>
              <w:rPr>
                <w:rFonts w:ascii="Calibri" w:eastAsia="Times New Roman" w:hAnsi="Calibri" w:cs="Times New Roman"/>
                <w:b/>
                <w:bCs/>
                <w:sz w:val="20"/>
                <w:lang w:eastAsia="de-DE"/>
              </w:rPr>
              <w:t>Bodendenkmale/Denkmale und sonstige Kultur- und Sachgüter:</w:t>
            </w:r>
            <w:r>
              <w:rPr>
                <w:rFonts w:ascii="Calibri" w:eastAsia="Times New Roman" w:hAnsi="Calibri" w:cs="Times New Roman"/>
                <w:bCs/>
                <w:sz w:val="20"/>
                <w:lang w:eastAsia="de-DE"/>
              </w:rPr>
              <w:t xml:space="preserve"> unmittelbarer Eingriffsort</w:t>
            </w:r>
          </w:p>
          <w:p>
            <w:pPr>
              <w:autoSpaceDE w:val="0"/>
              <w:autoSpaceDN w:val="0"/>
              <w:adjustRightInd w:val="0"/>
              <w:rPr>
                <w:rFonts w:ascii="Calibri" w:eastAsia="Times New Roman" w:hAnsi="Calibri" w:cs="Times New Roman"/>
                <w:bCs/>
                <w:sz w:val="20"/>
                <w:lang w:eastAsia="de-DE"/>
              </w:rPr>
            </w:pPr>
            <w:r>
              <w:rPr>
                <w:rFonts w:ascii="Calibri" w:eastAsia="Times New Roman" w:hAnsi="Calibri" w:cs="Times New Roman"/>
                <w:bCs/>
                <w:sz w:val="20"/>
                <w:lang w:eastAsia="de-DE"/>
              </w:rPr>
              <w:t xml:space="preserve">- </w:t>
            </w:r>
            <w:r>
              <w:rPr>
                <w:rFonts w:ascii="Calibri" w:eastAsia="Times New Roman" w:hAnsi="Calibri" w:cs="Times New Roman"/>
                <w:b/>
                <w:bCs/>
                <w:sz w:val="20"/>
                <w:lang w:eastAsia="de-DE"/>
              </w:rPr>
              <w:t>Schutzgebiete / Landschaftsbild:</w:t>
            </w:r>
            <w:r>
              <w:rPr>
                <w:rFonts w:ascii="Calibri" w:eastAsia="Times New Roman" w:hAnsi="Calibri" w:cs="Times New Roman"/>
                <w:bCs/>
                <w:sz w:val="20"/>
                <w:lang w:eastAsia="de-DE"/>
              </w:rPr>
              <w:t xml:space="preserve"> Bewertet wird eine mögliche Betroffenheit nach den „Hinweisen zur Festlegung von Eignungsgebieten für Windenergieanlagen“ (Anlage 3 der Richtlinie zum Zwecke der Neuaufstellung, Änderung und Ergänzung Regionaler Raumentwicklungsprogramme in Mecklenburg-Vorpommern vom 22.05.2012). Die empfohlenen Ausschluss- und Restriktionsgebiete für Windkraftnutzung dienen u.a. der Gewährleistung des Natur- und Umweltschutzes (Restriktionsgebiete sind entsprechend erläutert bzw. begründet). Für WEA außerhalb von Ausschluss- und Restriktionsgebieten sind keine erheblich nachteiligen Auswirkungen auf die Schutzgebiete und ihre Schutzziele mit Ausnahme der Horste/Nistplätze von Großvögeln zu befürchten.</w:t>
            </w:r>
          </w:p>
          <w:p>
            <w:pPr>
              <w:rPr>
                <w:rFonts w:ascii="Calibri" w:eastAsia="Times New Roman" w:hAnsi="Calibri" w:cs="Times New Roman"/>
                <w:bCs/>
                <w:sz w:val="20"/>
                <w:lang w:eastAsia="de-DE"/>
              </w:rPr>
            </w:pPr>
            <w:r>
              <w:rPr>
                <w:rFonts w:ascii="Calibri" w:eastAsia="Times New Roman" w:hAnsi="Calibri" w:cs="Times New Roman"/>
                <w:bCs/>
                <w:sz w:val="20"/>
                <w:lang w:eastAsia="de-DE"/>
              </w:rPr>
              <w:t xml:space="preserve">- </w:t>
            </w:r>
            <w:r>
              <w:rPr>
                <w:rFonts w:ascii="Calibri" w:eastAsia="Times New Roman" w:hAnsi="Calibri" w:cs="Times New Roman"/>
                <w:b/>
                <w:bCs/>
                <w:sz w:val="20"/>
                <w:lang w:eastAsia="de-DE"/>
              </w:rPr>
              <w:t>Horste/Nistplätze von Großvögeln:</w:t>
            </w:r>
            <w:r>
              <w:rPr>
                <w:rFonts w:ascii="Calibri" w:eastAsia="Times New Roman" w:hAnsi="Calibri" w:cs="Times New Roman"/>
                <w:bCs/>
                <w:sz w:val="20"/>
                <w:lang w:eastAsia="de-DE"/>
              </w:rPr>
              <w:t xml:space="preserve"> bis 6 km (In Anlehnung an den größten Mindestabstand zu Brutplätzen bzw. Brutvorkommen WEA-sensibler Brutvogelarten lt. AAB WEA MV Teil Vögel 2016</w:t>
            </w:r>
          </w:p>
          <w:p>
            <w:pPr>
              <w:rPr>
                <w:rFonts w:ascii="Calibri" w:eastAsia="Times New Roman" w:hAnsi="Calibri" w:cs="Times New Roman"/>
                <w:bCs/>
                <w:sz w:val="20"/>
                <w:lang w:eastAsia="de-DE"/>
              </w:rPr>
            </w:pPr>
          </w:p>
          <w:p>
            <w:pPr>
              <w:rPr>
                <w:rFonts w:ascii="Calibri" w:eastAsia="Times New Roman" w:hAnsi="Calibri" w:cs="Times New Roman"/>
                <w:b/>
                <w:bCs/>
                <w:sz w:val="20"/>
                <w:lang w:eastAsia="de-DE"/>
              </w:rPr>
            </w:pPr>
            <w:r>
              <w:rPr>
                <w:rFonts w:ascii="Calibri" w:eastAsia="Times New Roman" w:hAnsi="Calibri" w:cs="Times New Roman"/>
                <w:bCs/>
                <w:sz w:val="20"/>
                <w:lang w:eastAsia="de-DE"/>
              </w:rPr>
              <w:t>Außerhalb der jeweiligen Untersuchungsräume sind keine erheblichen Auswirkungen zu befürchten.</w:t>
            </w:r>
          </w:p>
        </w:tc>
      </w:tr>
    </w:tbl>
    <w:p>
      <w:pPr>
        <w:pStyle w:val="KeinLeerraum"/>
        <w:rPr>
          <w:sz w:val="2"/>
        </w:rPr>
      </w:pPr>
    </w:p>
    <w:tbl>
      <w:tblPr>
        <w:tblStyle w:val="Tabellenraster"/>
        <w:tblpPr w:leftFromText="141" w:rightFromText="141" w:vertAnchor="text" w:tblpXSpec="right" w:tblpY="1"/>
        <w:tblOverlap w:val="never"/>
        <w:tblW w:w="15163" w:type="dxa"/>
        <w:tblLook w:val="04A0" w:firstRow="1" w:lastRow="0" w:firstColumn="1" w:lastColumn="0" w:noHBand="0" w:noVBand="1"/>
      </w:tblPr>
      <w:tblGrid>
        <w:gridCol w:w="988"/>
        <w:gridCol w:w="2551"/>
        <w:gridCol w:w="1985"/>
        <w:gridCol w:w="9639"/>
      </w:tblGrid>
      <w:tr>
        <w:trPr>
          <w:tblHeader/>
        </w:trPr>
        <w:tc>
          <w:tcPr>
            <w:tcW w:w="3539" w:type="dxa"/>
            <w:gridSpan w:val="2"/>
            <w:shd w:val="clear" w:color="auto" w:fill="F2F2F2" w:themeFill="background1" w:themeFillShade="F2"/>
          </w:tcPr>
          <w:p>
            <w:pPr>
              <w:rPr>
                <w:rFonts w:ascii="Calibri" w:eastAsia="Times New Roman" w:hAnsi="Calibri" w:cs="Times New Roman"/>
                <w:b/>
                <w:bCs/>
                <w:sz w:val="20"/>
                <w:lang w:eastAsia="de-DE"/>
              </w:rPr>
            </w:pPr>
            <w:r>
              <w:rPr>
                <w:rFonts w:ascii="Arial" w:hAnsi="Arial" w:cs="Arial"/>
                <w:sz w:val="24"/>
              </w:rPr>
              <w:lastRenderedPageBreak/>
              <w:br w:type="page"/>
            </w:r>
            <w:r>
              <w:rPr>
                <w:rFonts w:ascii="Calibri" w:eastAsia="Times New Roman" w:hAnsi="Calibri" w:cs="Times New Roman"/>
                <w:b/>
                <w:bCs/>
                <w:sz w:val="20"/>
                <w:lang w:eastAsia="de-DE"/>
              </w:rPr>
              <w:t>Merkmale der Vorhaben nach Nr. 1 der Anlage 3 des UVPG</w:t>
            </w:r>
          </w:p>
          <w:p>
            <w:pPr>
              <w:rPr>
                <w:rFonts w:ascii="Calibri" w:eastAsia="Times New Roman" w:hAnsi="Calibri" w:cs="Times New Roman"/>
                <w:b/>
                <w:bCs/>
                <w:sz w:val="20"/>
                <w:lang w:eastAsia="de-DE"/>
              </w:rPr>
            </w:pPr>
            <w:r>
              <w:rPr>
                <w:rFonts w:ascii="Calibri" w:eastAsia="Times New Roman" w:hAnsi="Calibri" w:cs="Times New Roman"/>
                <w:bCs/>
                <w:sz w:val="20"/>
                <w:lang w:eastAsia="de-DE"/>
              </w:rPr>
              <w:t>Die Merkmale eines Vorhabens sind insbesondere hinsichtlich folgender Kriterien zu beurteilen:</w:t>
            </w:r>
          </w:p>
        </w:tc>
        <w:tc>
          <w:tcPr>
            <w:tcW w:w="1985" w:type="dxa"/>
            <w:shd w:val="clear" w:color="auto" w:fill="F2F2F2" w:themeFill="background1" w:themeFillShade="F2"/>
          </w:tcPr>
          <w:p>
            <w:pPr>
              <w:rPr>
                <w:rFonts w:ascii="Arial" w:hAnsi="Arial" w:cs="Arial"/>
                <w:sz w:val="24"/>
              </w:rPr>
            </w:pPr>
            <w:r>
              <w:rPr>
                <w:rFonts w:ascii="Calibri" w:eastAsia="Times New Roman" w:hAnsi="Calibri" w:cs="Times New Roman"/>
                <w:b/>
                <w:bCs/>
                <w:sz w:val="20"/>
                <w:lang w:eastAsia="de-DE"/>
              </w:rPr>
              <w:t xml:space="preserve">Wirkzonen bzw. Untersuchungsräume </w:t>
            </w:r>
          </w:p>
        </w:tc>
        <w:tc>
          <w:tcPr>
            <w:tcW w:w="9639" w:type="dxa"/>
            <w:shd w:val="clear" w:color="auto" w:fill="F2F2F2" w:themeFill="background1" w:themeFillShade="F2"/>
          </w:tcPr>
          <w:p>
            <w:pPr>
              <w:rPr>
                <w:rFonts w:ascii="Calibri" w:eastAsia="Times New Roman" w:hAnsi="Calibri" w:cs="Times New Roman"/>
                <w:b/>
                <w:bCs/>
                <w:sz w:val="20"/>
                <w:lang w:eastAsia="de-DE"/>
              </w:rPr>
            </w:pPr>
            <w:r>
              <w:rPr>
                <w:rFonts w:ascii="Calibri" w:eastAsia="Times New Roman" w:hAnsi="Calibri" w:cs="Times New Roman"/>
                <w:b/>
                <w:bCs/>
                <w:sz w:val="20"/>
                <w:lang w:eastAsia="de-DE"/>
              </w:rPr>
              <w:t>Überprüfung und fachliche Einschätzung der Genehmigungsbehörde der überschlägigen Angaben zu den Kriterien hinsichtlich Bauphase, Betriebsphase und nach Nutzungsaufgabe bzw. Abbau</w:t>
            </w:r>
          </w:p>
          <w:p>
            <w:pPr>
              <w:rPr>
                <w:rFonts w:ascii="Arial" w:hAnsi="Arial" w:cs="Arial"/>
                <w:sz w:val="20"/>
              </w:rPr>
            </w:pPr>
          </w:p>
        </w:tc>
      </w:tr>
      <w:tr>
        <w:tc>
          <w:tcPr>
            <w:tcW w:w="988" w:type="dxa"/>
            <w:shd w:val="clear" w:color="auto" w:fill="F2F2F2" w:themeFill="background1" w:themeFillShade="F2"/>
          </w:tcPr>
          <w:p>
            <w:pPr>
              <w:jc w:val="center"/>
              <w:rPr>
                <w:rFonts w:ascii="Calibri" w:eastAsia="Times New Roman" w:hAnsi="Calibri" w:cs="Times New Roman"/>
                <w:b/>
                <w:bCs/>
                <w:sz w:val="24"/>
                <w:szCs w:val="24"/>
                <w:lang w:eastAsia="de-DE"/>
              </w:rPr>
            </w:pPr>
            <w:r>
              <w:rPr>
                <w:rFonts w:ascii="Calibri" w:eastAsia="Times New Roman" w:hAnsi="Calibri" w:cs="Times New Roman"/>
                <w:b/>
                <w:bCs/>
                <w:sz w:val="20"/>
                <w:szCs w:val="24"/>
                <w:lang w:eastAsia="de-DE"/>
              </w:rPr>
              <w:t>1.1</w:t>
            </w:r>
          </w:p>
        </w:tc>
        <w:tc>
          <w:tcPr>
            <w:tcW w:w="2551" w:type="dxa"/>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Größe und Ausgestaltung des gesamten Vorhabens und, soweit relevant, der Abrissarbeiten,</w:t>
            </w:r>
          </w:p>
          <w:p>
            <w:pPr>
              <w:rPr>
                <w:rFonts w:ascii="Calibri" w:eastAsia="Times New Roman" w:hAnsi="Calibri" w:cs="Times New Roman"/>
                <w:sz w:val="18"/>
                <w:szCs w:val="20"/>
                <w:lang w:eastAsia="de-DE"/>
              </w:rPr>
            </w:pPr>
          </w:p>
        </w:tc>
        <w:tc>
          <w:tcPr>
            <w:tcW w:w="1985" w:type="dxa"/>
          </w:tcPr>
          <w:p>
            <w:pPr>
              <w:rPr>
                <w:rFonts w:ascii="Calibri" w:eastAsia="Times New Roman" w:hAnsi="Calibri" w:cs="Times New Roman"/>
                <w:b/>
                <w:bCs/>
                <w:i/>
                <w:iCs/>
                <w:sz w:val="18"/>
                <w:szCs w:val="20"/>
                <w:lang w:eastAsia="de-DE"/>
              </w:rPr>
            </w:pPr>
          </w:p>
        </w:tc>
        <w:tc>
          <w:tcPr>
            <w:tcW w:w="9639" w:type="dxa"/>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Die allgemeine Vorprüfung des Einzelfalls bezieht sich auf die Errichtung und den Betrieb einer Windkraftanlagen des Typs Enercon E-147 EP5 E2 mit folgenden Größen- und Leistungswerten:</w:t>
            </w:r>
            <w:r>
              <w:rPr>
                <w:rFonts w:ascii="Calibri" w:eastAsia="Times New Roman" w:hAnsi="Calibri" w:cs="Times New Roman"/>
                <w:sz w:val="18"/>
                <w:szCs w:val="20"/>
                <w:lang w:eastAsia="de-DE"/>
              </w:rPr>
              <w:br/>
              <w:t>- Nabenhöhe: 155 m (Gesamthöhe 228,50)</w:t>
            </w:r>
          </w:p>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Rotordurchmesser: 147 m</w:t>
            </w:r>
            <w:r>
              <w:rPr>
                <w:rFonts w:ascii="Calibri" w:eastAsia="Times New Roman" w:hAnsi="Calibri" w:cs="Times New Roman"/>
                <w:sz w:val="18"/>
                <w:szCs w:val="20"/>
                <w:lang w:eastAsia="de-DE"/>
              </w:rPr>
              <w:br/>
              <w:t xml:space="preserve">- Leistung: 5,00 MW </w:t>
            </w:r>
          </w:p>
          <w:p>
            <w:pPr>
              <w:rPr>
                <w:rFonts w:ascii="Calibri" w:eastAsia="Times New Roman" w:hAnsi="Calibri" w:cs="Times New Roman"/>
                <w:b/>
                <w:bCs/>
                <w:sz w:val="18"/>
                <w:szCs w:val="20"/>
                <w:lang w:eastAsia="de-DE"/>
              </w:rPr>
            </w:pPr>
          </w:p>
          <w:p>
            <w:pPr>
              <w:rPr>
                <w:rFonts w:ascii="Calibri" w:eastAsia="Times New Roman" w:hAnsi="Calibri" w:cs="Times New Roman"/>
                <w:b/>
                <w:bCs/>
                <w:sz w:val="18"/>
                <w:szCs w:val="20"/>
                <w:lang w:eastAsia="de-DE"/>
              </w:rPr>
            </w:pPr>
            <w:r>
              <w:rPr>
                <w:rFonts w:ascii="Calibri" w:eastAsia="Times New Roman" w:hAnsi="Calibri" w:cs="Times New Roman"/>
                <w:sz w:val="18"/>
                <w:szCs w:val="20"/>
                <w:lang w:eastAsia="de-DE"/>
              </w:rPr>
              <w:t>Mit Errichtung der Anlage werden keine Größen- oder Leistungswerte, die eine UVP-Pflicht begründen erreicht.</w:t>
            </w:r>
            <w:r>
              <w:rPr>
                <w:rFonts w:ascii="Calibri" w:eastAsia="Times New Roman" w:hAnsi="Calibri" w:cs="Times New Roman"/>
                <w:sz w:val="18"/>
                <w:szCs w:val="20"/>
                <w:lang w:eastAsia="de-DE"/>
              </w:rPr>
              <w:br/>
              <w:t>(-)</w:t>
            </w:r>
          </w:p>
        </w:tc>
      </w:tr>
      <w:tr>
        <w:tc>
          <w:tcPr>
            <w:tcW w:w="988" w:type="dxa"/>
            <w:shd w:val="clear" w:color="auto" w:fill="F2F2F2" w:themeFill="background1" w:themeFillShade="F2"/>
          </w:tcPr>
          <w:p>
            <w:pPr>
              <w:jc w:val="center"/>
              <w:rPr>
                <w:rFonts w:ascii="Calibri" w:eastAsia="Times New Roman" w:hAnsi="Calibri" w:cs="Times New Roman"/>
                <w:b/>
                <w:bCs/>
                <w:sz w:val="24"/>
                <w:szCs w:val="24"/>
                <w:lang w:eastAsia="de-DE"/>
              </w:rPr>
            </w:pPr>
            <w:r>
              <w:rPr>
                <w:rFonts w:ascii="Calibri" w:eastAsia="Times New Roman" w:hAnsi="Calibri" w:cs="Times New Roman"/>
                <w:b/>
                <w:bCs/>
                <w:sz w:val="20"/>
                <w:szCs w:val="24"/>
                <w:lang w:eastAsia="de-DE"/>
              </w:rPr>
              <w:t>1.2</w:t>
            </w:r>
          </w:p>
        </w:tc>
        <w:tc>
          <w:tcPr>
            <w:tcW w:w="2551" w:type="dxa"/>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Zusammenwirken mit anderen bestehenden oder zugelassenen Vorhaben und Tätigkeiten,</w:t>
            </w:r>
          </w:p>
          <w:p>
            <w:pPr>
              <w:rPr>
                <w:rFonts w:ascii="Calibri" w:eastAsia="Times New Roman" w:hAnsi="Calibri" w:cs="Times New Roman"/>
                <w:sz w:val="18"/>
                <w:szCs w:val="20"/>
                <w:lang w:eastAsia="de-DE"/>
              </w:rPr>
            </w:pPr>
          </w:p>
        </w:tc>
        <w:tc>
          <w:tcPr>
            <w:tcW w:w="1985" w:type="dxa"/>
          </w:tcPr>
          <w:p>
            <w:pPr>
              <w:rPr>
                <w:rFonts w:ascii="Arial" w:hAnsi="Arial" w:cs="Arial"/>
                <w:sz w:val="18"/>
              </w:rPr>
            </w:pPr>
          </w:p>
        </w:tc>
        <w:tc>
          <w:tcPr>
            <w:tcW w:w="9639" w:type="dxa"/>
          </w:tcPr>
          <w:p>
            <w:pPr>
              <w:rPr>
                <w:rFonts w:ascii="Arial" w:hAnsi="Arial" w:cs="Arial"/>
                <w:sz w:val="18"/>
              </w:rPr>
            </w:pPr>
            <w:r>
              <w:rPr>
                <w:rFonts w:ascii="Calibri" w:eastAsia="Times New Roman" w:hAnsi="Calibri" w:cs="Times New Roman"/>
                <w:sz w:val="18"/>
                <w:szCs w:val="20"/>
                <w:lang w:eastAsia="de-DE"/>
              </w:rPr>
              <w:t>Zum Windeignungsgebiet (WEG) Völschow zählen z.Zt. 21 WEA Bestandsanlagen und 5 WEA im Genehmigungsverfahren. Die letzte Umweltverträglichkeitsprüfung erfolgte im Rahmen der in dieser Windfarm zuletzt erteilten Genehmigung G 033/16 vom 22.12.2016. Weitere Vorhaben sind nicht zu berücksichtigen. Keine UVP-Pflicht der kumulierenden Vorhaben (&lt; 20 WEA nach durchgeführter UVP). (-)</w:t>
            </w:r>
          </w:p>
        </w:tc>
      </w:tr>
      <w:tr>
        <w:tc>
          <w:tcPr>
            <w:tcW w:w="988" w:type="dxa"/>
            <w:shd w:val="clear" w:color="auto" w:fill="F2F2F2" w:themeFill="background1" w:themeFillShade="F2"/>
          </w:tcPr>
          <w:p>
            <w:pPr>
              <w:jc w:val="center"/>
              <w:rPr>
                <w:rFonts w:ascii="Calibri" w:eastAsia="Times New Roman" w:hAnsi="Calibri" w:cs="Times New Roman"/>
                <w:b/>
                <w:bCs/>
                <w:sz w:val="24"/>
                <w:szCs w:val="24"/>
                <w:lang w:eastAsia="de-DE"/>
              </w:rPr>
            </w:pPr>
            <w:r>
              <w:rPr>
                <w:rFonts w:ascii="Calibri" w:eastAsia="Times New Roman" w:hAnsi="Calibri" w:cs="Times New Roman"/>
                <w:b/>
                <w:bCs/>
                <w:sz w:val="20"/>
                <w:szCs w:val="24"/>
                <w:lang w:eastAsia="de-DE"/>
              </w:rPr>
              <w:t>1.3</w:t>
            </w:r>
          </w:p>
        </w:tc>
        <w:tc>
          <w:tcPr>
            <w:tcW w:w="2551" w:type="dxa"/>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Nutzung natürlicher Ressourcen, insbesondere Fläche, Boden, Wasser, Tiere, Pflanzen und biologische Vielfalt,</w:t>
            </w:r>
          </w:p>
          <w:p>
            <w:pPr>
              <w:rPr>
                <w:rFonts w:ascii="Calibri" w:eastAsia="Times New Roman" w:hAnsi="Calibri" w:cs="Times New Roman"/>
                <w:sz w:val="18"/>
                <w:szCs w:val="20"/>
                <w:lang w:eastAsia="de-DE"/>
              </w:rPr>
            </w:pPr>
          </w:p>
          <w:p>
            <w:pPr>
              <w:rPr>
                <w:rFonts w:ascii="Calibri" w:eastAsia="Times New Roman" w:hAnsi="Calibri" w:cs="Times New Roman"/>
                <w:sz w:val="18"/>
                <w:szCs w:val="20"/>
                <w:lang w:eastAsia="de-DE"/>
              </w:rPr>
            </w:pPr>
            <w:r>
              <w:rPr>
                <w:rFonts w:ascii="Calibri" w:eastAsia="Times New Roman" w:hAnsi="Calibri" w:cs="Times New Roman"/>
                <w:b/>
                <w:sz w:val="18"/>
                <w:szCs w:val="20"/>
                <w:lang w:eastAsia="de-DE"/>
              </w:rPr>
              <w:t>Boden:</w:t>
            </w:r>
            <w:r>
              <w:rPr>
                <w:rFonts w:ascii="Calibri" w:eastAsia="Times New Roman" w:hAnsi="Calibri" w:cs="Times New Roman"/>
                <w:sz w:val="18"/>
                <w:szCs w:val="20"/>
                <w:lang w:eastAsia="de-DE"/>
              </w:rPr>
              <w:t xml:space="preserve"> Umfang einer Inanspruchnahme durch Flächenentzug, Versiegelung, Verdichtung, Nutzungsänderung, Bodenabtrag / -auftrag, Entwässerung, Eintrag von Schadstoffen;</w:t>
            </w:r>
          </w:p>
          <w:p>
            <w:pPr>
              <w:rPr>
                <w:rFonts w:ascii="Calibri" w:eastAsia="Times New Roman" w:hAnsi="Calibri" w:cs="Times New Roman"/>
                <w:sz w:val="18"/>
                <w:szCs w:val="20"/>
                <w:lang w:eastAsia="de-DE"/>
              </w:rPr>
            </w:pPr>
          </w:p>
          <w:p>
            <w:pPr>
              <w:rPr>
                <w:rFonts w:ascii="Calibri" w:eastAsia="Times New Roman" w:hAnsi="Calibri" w:cs="Times New Roman"/>
                <w:sz w:val="18"/>
                <w:szCs w:val="20"/>
                <w:lang w:eastAsia="de-DE"/>
              </w:rPr>
            </w:pPr>
            <w:r>
              <w:rPr>
                <w:rFonts w:ascii="Calibri" w:eastAsia="Times New Roman" w:hAnsi="Calibri" w:cs="Times New Roman"/>
                <w:b/>
                <w:sz w:val="18"/>
                <w:szCs w:val="20"/>
                <w:lang w:eastAsia="de-DE"/>
              </w:rPr>
              <w:t>Natur und Landschaft:</w:t>
            </w:r>
            <w:r>
              <w:rPr>
                <w:rFonts w:ascii="Calibri" w:eastAsia="Times New Roman" w:hAnsi="Calibri" w:cs="Times New Roman"/>
                <w:sz w:val="18"/>
                <w:szCs w:val="20"/>
                <w:lang w:eastAsia="de-DE"/>
              </w:rPr>
              <w:t xml:space="preserve"> Angaben zur Nutzung und Gestaltung von Flora, Fauna, Biotopen und des Landschaftsbildes durch das Vorhaben</w:t>
            </w:r>
          </w:p>
          <w:p>
            <w:pPr>
              <w:rPr>
                <w:rFonts w:ascii="Calibri" w:eastAsia="Times New Roman" w:hAnsi="Calibri" w:cs="Times New Roman"/>
                <w:sz w:val="18"/>
                <w:szCs w:val="20"/>
                <w:lang w:eastAsia="de-DE"/>
              </w:rPr>
            </w:pPr>
          </w:p>
        </w:tc>
        <w:tc>
          <w:tcPr>
            <w:tcW w:w="1985" w:type="dxa"/>
          </w:tcPr>
          <w:p>
            <w:pPr>
              <w:rPr>
                <w:rFonts w:ascii="Arial" w:hAnsi="Arial" w:cs="Arial"/>
                <w:sz w:val="18"/>
              </w:rPr>
            </w:pPr>
          </w:p>
        </w:tc>
        <w:tc>
          <w:tcPr>
            <w:tcW w:w="9639" w:type="dxa"/>
          </w:tcPr>
          <w:p>
            <w:pPr>
              <w:rPr>
                <w:rFonts w:ascii="Calibri" w:eastAsia="Times New Roman" w:hAnsi="Calibri" w:cs="Times New Roman"/>
                <w:sz w:val="18"/>
                <w:szCs w:val="20"/>
                <w:lang w:eastAsia="de-DE"/>
              </w:rPr>
            </w:pPr>
            <w:r>
              <w:rPr>
                <w:rFonts w:ascii="Calibri" w:eastAsia="Times New Roman" w:hAnsi="Calibri" w:cs="Times New Roman"/>
                <w:b/>
                <w:sz w:val="18"/>
                <w:szCs w:val="20"/>
                <w:lang w:eastAsia="de-DE"/>
              </w:rPr>
              <w:t>Fläche:</w:t>
            </w:r>
            <w:r>
              <w:rPr>
                <w:rFonts w:ascii="Calibri" w:eastAsia="Times New Roman" w:hAnsi="Calibri" w:cs="Times New Roman"/>
                <w:sz w:val="18"/>
                <w:szCs w:val="20"/>
                <w:lang w:eastAsia="de-DE"/>
              </w:rPr>
              <w:t xml:space="preserve"> Vollversiegelt (Fundamente) werden 491 m², von Teilversiegelung (Kranstellfläche, Wege) betroffen sind 2.513 m².</w:t>
            </w:r>
          </w:p>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Der Flächenverbrauch geht nicht über das erforderliche Maß hinaus und ist nicht geeignet erheblich nachteilig auf die Umwelt zu wirken. (-)</w:t>
            </w:r>
          </w:p>
          <w:p>
            <w:pPr>
              <w:rPr>
                <w:rFonts w:ascii="Calibri" w:eastAsia="Times New Roman" w:hAnsi="Calibri" w:cs="Times New Roman"/>
                <w:b/>
                <w:sz w:val="18"/>
                <w:szCs w:val="20"/>
                <w:lang w:eastAsia="de-DE"/>
              </w:rPr>
            </w:pPr>
          </w:p>
          <w:p>
            <w:pPr>
              <w:rPr>
                <w:rFonts w:ascii="Calibri" w:eastAsia="Times New Roman" w:hAnsi="Calibri" w:cs="Times New Roman"/>
                <w:sz w:val="18"/>
                <w:szCs w:val="20"/>
                <w:lang w:eastAsia="de-DE"/>
              </w:rPr>
            </w:pPr>
            <w:r>
              <w:rPr>
                <w:rFonts w:ascii="Calibri" w:eastAsia="Times New Roman" w:hAnsi="Calibri" w:cs="Times New Roman"/>
                <w:b/>
                <w:sz w:val="18"/>
                <w:szCs w:val="20"/>
                <w:lang w:eastAsia="de-DE"/>
              </w:rPr>
              <w:t>Boden:</w:t>
            </w:r>
            <w:r>
              <w:rPr>
                <w:rFonts w:ascii="Calibri" w:eastAsia="Times New Roman" w:hAnsi="Calibri" w:cs="Times New Roman"/>
                <w:sz w:val="18"/>
                <w:szCs w:val="20"/>
                <w:lang w:eastAsia="de-DE"/>
              </w:rPr>
              <w:t xml:space="preserve"> Lebensraumfunktion geht auf allen überbauten Flächen zunächst verloren, auf teilversiegelten Flächen entstehen im Verlauf der Sukzession neue, teilweise vergleichbare Lebensraumfunktionen. Keine erheblich nachteiligen Umweltauswirkungen (geringe Vollversiegelungsfläche) und Bodenfunktion, reversibel (-)</w:t>
            </w:r>
          </w:p>
          <w:p>
            <w:pPr>
              <w:rPr>
                <w:rFonts w:ascii="Calibri" w:eastAsia="Times New Roman" w:hAnsi="Calibri" w:cs="Times New Roman"/>
                <w:sz w:val="18"/>
                <w:szCs w:val="20"/>
                <w:lang w:eastAsia="de-DE"/>
              </w:rPr>
            </w:pPr>
          </w:p>
          <w:p>
            <w:pPr>
              <w:rPr>
                <w:rFonts w:ascii="Calibri" w:eastAsia="Times New Roman" w:hAnsi="Calibri" w:cs="Times New Roman"/>
                <w:sz w:val="18"/>
                <w:szCs w:val="20"/>
                <w:lang w:eastAsia="de-DE"/>
              </w:rPr>
            </w:pPr>
            <w:r>
              <w:rPr>
                <w:rFonts w:ascii="Calibri" w:eastAsia="Times New Roman" w:hAnsi="Calibri" w:cs="Times New Roman"/>
                <w:b/>
                <w:sz w:val="18"/>
                <w:szCs w:val="20"/>
                <w:lang w:eastAsia="de-DE"/>
              </w:rPr>
              <w:t>Wasser:</w:t>
            </w:r>
            <w:r>
              <w:rPr>
                <w:rFonts w:ascii="Calibri" w:eastAsia="Times New Roman" w:hAnsi="Calibri" w:cs="Times New Roman"/>
                <w:sz w:val="18"/>
                <w:szCs w:val="20"/>
                <w:lang w:eastAsia="de-DE"/>
              </w:rPr>
              <w:t xml:space="preserve"> Abwasser fällt nicht an. Anfallendes Regenwasser wird auf die umgebenden Grenzflächen / landwirtschaftlichen Nutzflächen abgeleitet und kann dort versickern, eine Beeinträchtigung des Grundwassers erfolgt nicht. Keine Unterbrechung des lokalen Wasserhaushalts aufgrund der geringen Flächengrößen möglich. Oberflächengewässer werden nicht berührt. (-)</w:t>
            </w:r>
          </w:p>
          <w:p>
            <w:pPr>
              <w:rPr>
                <w:rFonts w:ascii="Calibri" w:eastAsia="Times New Roman" w:hAnsi="Calibri" w:cs="Times New Roman"/>
                <w:sz w:val="18"/>
                <w:szCs w:val="20"/>
                <w:lang w:eastAsia="de-DE"/>
              </w:rPr>
            </w:pPr>
          </w:p>
          <w:p>
            <w:pPr>
              <w:rPr>
                <w:rFonts w:ascii="Calibri" w:eastAsia="Times New Roman" w:hAnsi="Calibri" w:cs="Times New Roman"/>
                <w:sz w:val="18"/>
                <w:szCs w:val="20"/>
                <w:lang w:eastAsia="de-DE"/>
              </w:rPr>
            </w:pPr>
            <w:r>
              <w:rPr>
                <w:rFonts w:ascii="Calibri" w:eastAsia="Times New Roman" w:hAnsi="Calibri" w:cs="Times New Roman"/>
                <w:b/>
                <w:sz w:val="18"/>
                <w:szCs w:val="20"/>
                <w:lang w:eastAsia="de-DE"/>
              </w:rPr>
              <w:t>Natur und Landschaft:</w:t>
            </w:r>
            <w:r>
              <w:rPr>
                <w:rFonts w:ascii="Calibri" w:eastAsia="Times New Roman" w:hAnsi="Calibri" w:cs="Times New Roman"/>
                <w:sz w:val="18"/>
                <w:szCs w:val="20"/>
                <w:lang w:eastAsia="de-DE"/>
              </w:rPr>
              <w:t xml:space="preserve"> Die Realisierung des Vorhabens soll auf intensiv genutzten Ackerflächen erfolgen, die einen nur geringen Biotopwert besitzen. </w:t>
            </w:r>
          </w:p>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Die Errichtung der Anlagen erfolgt ferner in einem ausgewiesenen Windeignungsgebiet, welches durch dann 23 bestehende Anlagen das Landschaftsbild vorbelastet. Zusätzliche Belastungen des Landschaftsbildes entstehen durch die größere Bauhöhe gegenüber der Mehrheit der Bestandsanlagen. Diese werden durch geeignete Maßnahmen kompensiert. </w:t>
            </w:r>
          </w:p>
          <w:p>
            <w:pPr>
              <w:rPr>
                <w:rFonts w:ascii="Arial" w:hAnsi="Arial" w:cs="Arial"/>
                <w:sz w:val="18"/>
              </w:rPr>
            </w:pPr>
            <w:r>
              <w:rPr>
                <w:rFonts w:ascii="Calibri" w:eastAsia="Times New Roman" w:hAnsi="Calibri" w:cs="Times New Roman"/>
                <w:sz w:val="18"/>
                <w:szCs w:val="20"/>
                <w:lang w:eastAsia="de-DE"/>
              </w:rPr>
              <w:t xml:space="preserve"> (-)</w:t>
            </w:r>
          </w:p>
        </w:tc>
      </w:tr>
      <w:tr>
        <w:tc>
          <w:tcPr>
            <w:tcW w:w="988" w:type="dxa"/>
            <w:shd w:val="clear" w:color="auto" w:fill="F2F2F2" w:themeFill="background1" w:themeFillShade="F2"/>
          </w:tcPr>
          <w:p>
            <w:pPr>
              <w:jc w:val="center"/>
              <w:rPr>
                <w:rFonts w:ascii="Calibri" w:eastAsia="Times New Roman" w:hAnsi="Calibri" w:cs="Times New Roman"/>
                <w:b/>
                <w:bCs/>
                <w:sz w:val="24"/>
                <w:szCs w:val="24"/>
                <w:lang w:eastAsia="de-DE"/>
              </w:rPr>
            </w:pPr>
            <w:r>
              <w:rPr>
                <w:rFonts w:ascii="Calibri" w:eastAsia="Times New Roman" w:hAnsi="Calibri" w:cs="Times New Roman"/>
                <w:b/>
                <w:bCs/>
                <w:sz w:val="20"/>
                <w:szCs w:val="24"/>
                <w:lang w:eastAsia="de-DE"/>
              </w:rPr>
              <w:t>1.4</w:t>
            </w:r>
          </w:p>
        </w:tc>
        <w:tc>
          <w:tcPr>
            <w:tcW w:w="2551" w:type="dxa"/>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Erzeugung von Abfällen im Sinne von § 3 Absatz 1 und 8 des Kreislaufwirtschaftsgesetzes,</w:t>
            </w:r>
          </w:p>
          <w:p>
            <w:pPr>
              <w:rPr>
                <w:rFonts w:ascii="Calibri" w:eastAsia="Times New Roman" w:hAnsi="Calibri" w:cs="Times New Roman"/>
                <w:sz w:val="18"/>
                <w:szCs w:val="20"/>
                <w:lang w:eastAsia="de-DE"/>
              </w:rPr>
            </w:pPr>
          </w:p>
        </w:tc>
        <w:tc>
          <w:tcPr>
            <w:tcW w:w="1985" w:type="dxa"/>
          </w:tcPr>
          <w:p>
            <w:pPr>
              <w:rPr>
                <w:rFonts w:ascii="Arial" w:hAnsi="Arial" w:cs="Arial"/>
                <w:sz w:val="18"/>
              </w:rPr>
            </w:pPr>
          </w:p>
        </w:tc>
        <w:tc>
          <w:tcPr>
            <w:tcW w:w="9639" w:type="dxa"/>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Bei der Errichtung anfallende Restmaterialien, wie z.B. Verpackungsmaterial, werden sortenrein durch Fachfirmen entsorgt (Herstellererklärung).</w:t>
            </w:r>
          </w:p>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Während des Betriebes der WEA werden keine Abfälle erzeugt.</w:t>
            </w:r>
          </w:p>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Bei Wartungen und Reparaturen anfallende Abfälle werden - wie bei der Errichtung - ordnungsgemäß entsorgt. </w:t>
            </w:r>
          </w:p>
          <w:p>
            <w:pPr>
              <w:rPr>
                <w:rFonts w:ascii="Arial" w:hAnsi="Arial" w:cs="Arial"/>
                <w:sz w:val="18"/>
              </w:rPr>
            </w:pPr>
            <w:r>
              <w:rPr>
                <w:rFonts w:ascii="Calibri" w:eastAsia="Times New Roman" w:hAnsi="Calibri" w:cs="Times New Roman"/>
                <w:sz w:val="18"/>
                <w:szCs w:val="20"/>
                <w:lang w:eastAsia="de-DE"/>
              </w:rPr>
              <w:t>(-)</w:t>
            </w:r>
          </w:p>
        </w:tc>
      </w:tr>
      <w:tr>
        <w:tc>
          <w:tcPr>
            <w:tcW w:w="988" w:type="dxa"/>
            <w:shd w:val="clear" w:color="auto" w:fill="F2F2F2" w:themeFill="background1" w:themeFillShade="F2"/>
          </w:tcPr>
          <w:p>
            <w:pPr>
              <w:jc w:val="center"/>
              <w:rPr>
                <w:rFonts w:ascii="Calibri" w:eastAsia="Times New Roman" w:hAnsi="Calibri" w:cs="Times New Roman"/>
                <w:b/>
                <w:bCs/>
                <w:sz w:val="24"/>
                <w:szCs w:val="24"/>
                <w:lang w:eastAsia="de-DE"/>
              </w:rPr>
            </w:pPr>
            <w:r>
              <w:rPr>
                <w:rFonts w:ascii="Calibri" w:eastAsia="Times New Roman" w:hAnsi="Calibri" w:cs="Times New Roman"/>
                <w:b/>
                <w:bCs/>
                <w:sz w:val="20"/>
                <w:szCs w:val="24"/>
                <w:lang w:eastAsia="de-DE"/>
              </w:rPr>
              <w:t>1.5</w:t>
            </w:r>
          </w:p>
        </w:tc>
        <w:tc>
          <w:tcPr>
            <w:tcW w:w="2551" w:type="dxa"/>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Umweltverschmutzung und Belästigungen,</w:t>
            </w:r>
          </w:p>
          <w:p>
            <w:pPr>
              <w:rPr>
                <w:rFonts w:ascii="Calibri" w:eastAsia="Times New Roman" w:hAnsi="Calibri" w:cs="Times New Roman"/>
                <w:sz w:val="18"/>
                <w:szCs w:val="20"/>
                <w:lang w:eastAsia="de-DE"/>
              </w:rPr>
            </w:pPr>
          </w:p>
        </w:tc>
        <w:tc>
          <w:tcPr>
            <w:tcW w:w="1985" w:type="dxa"/>
          </w:tcPr>
          <w:p>
            <w:pPr>
              <w:rPr>
                <w:rFonts w:ascii="Arial" w:hAnsi="Arial" w:cs="Arial"/>
                <w:sz w:val="18"/>
              </w:rPr>
            </w:pPr>
          </w:p>
        </w:tc>
        <w:tc>
          <w:tcPr>
            <w:tcW w:w="9639" w:type="dxa"/>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Keine stofflichen Emissionen; </w:t>
            </w:r>
          </w:p>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Die Schallimmissions- sowie Schattenwurfprognosen wurden nach dem aktuellen Stand der Wissenschaft erstellt. An den maßgeblichen Immissionsorten werden die Schall-Richtwerte deren Überschreitung zu erheblich nachteiligen Umweltauswirkungen </w:t>
            </w:r>
            <w:r>
              <w:rPr>
                <w:rFonts w:ascii="Calibri" w:eastAsia="Times New Roman" w:hAnsi="Calibri" w:cs="Times New Roman"/>
                <w:sz w:val="18"/>
                <w:szCs w:val="20"/>
                <w:lang w:eastAsia="de-DE"/>
              </w:rPr>
              <w:lastRenderedPageBreak/>
              <w:t>führen könnten, für den Tag- und Nachtbetrieb der WEA unter Verwendung eines schallreduzierten Betriebsmodus (nachts) sicher eingehalten.</w:t>
            </w:r>
          </w:p>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Beeinträchtigungen durch Schattenschlag werden durch das beantragte Schattenwurf-Abschaltsystem sicher unterhalb der Richtwerte gehalten, deren Überschreitung zu erheblich nachteiligen Umweltauswirkungen führen könnte.</w:t>
            </w:r>
          </w:p>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Lichtreflexionen werden durch spezielle Farbgebung der WEA vermieden. Lichtemissionen werden durch den Einsatz bedarfsgerechter Nachtkennzeichnung (BNK) auf das notwendige Maß reduziert. Bestandsanlagen sind aktuell nicht mit BNK ausgerüstet.</w:t>
            </w:r>
          </w:p>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Weitere Emissionen sind nicht zu erwarten.</w:t>
            </w:r>
          </w:p>
          <w:p>
            <w:pPr>
              <w:rPr>
                <w:rFonts w:ascii="Arial" w:hAnsi="Arial" w:cs="Arial"/>
                <w:sz w:val="18"/>
              </w:rPr>
            </w:pPr>
            <w:r>
              <w:rPr>
                <w:rFonts w:ascii="Calibri" w:eastAsia="Times New Roman" w:hAnsi="Calibri" w:cs="Times New Roman"/>
                <w:sz w:val="18"/>
                <w:szCs w:val="20"/>
                <w:lang w:eastAsia="de-DE"/>
              </w:rPr>
              <w:t>(-)</w:t>
            </w:r>
          </w:p>
        </w:tc>
      </w:tr>
      <w:tr>
        <w:tc>
          <w:tcPr>
            <w:tcW w:w="988" w:type="dxa"/>
            <w:shd w:val="clear" w:color="auto" w:fill="F2F2F2" w:themeFill="background1" w:themeFillShade="F2"/>
          </w:tcPr>
          <w:p>
            <w:pPr>
              <w:jc w:val="center"/>
              <w:rPr>
                <w:rFonts w:ascii="Calibri" w:eastAsia="Times New Roman" w:hAnsi="Calibri" w:cs="Times New Roman"/>
                <w:b/>
                <w:bCs/>
                <w:sz w:val="24"/>
                <w:szCs w:val="24"/>
                <w:lang w:eastAsia="de-DE"/>
              </w:rPr>
            </w:pPr>
            <w:r>
              <w:rPr>
                <w:rFonts w:ascii="Calibri" w:eastAsia="Times New Roman" w:hAnsi="Calibri" w:cs="Times New Roman"/>
                <w:b/>
                <w:bCs/>
                <w:sz w:val="20"/>
                <w:szCs w:val="24"/>
                <w:lang w:eastAsia="de-DE"/>
              </w:rPr>
              <w:lastRenderedPageBreak/>
              <w:t>1.6</w:t>
            </w:r>
          </w:p>
        </w:tc>
        <w:tc>
          <w:tcPr>
            <w:tcW w:w="14175" w:type="dxa"/>
            <w:gridSpan w:val="3"/>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Risiken von Störfällen, Unfällen und Katastrophen, die für das Vorhaben von Bedeutung sind, einschließlich der Störfälle, Unfälle und Katastrophen, die wissenschaftlichen Erkenntnissen zufolge durch den Klimawandel bedingt sind, insbesondere mit Blick auf:</w:t>
            </w:r>
          </w:p>
          <w:p>
            <w:pPr>
              <w:rPr>
                <w:rFonts w:ascii="Calibri" w:eastAsia="Times New Roman" w:hAnsi="Calibri" w:cs="Times New Roman"/>
                <w:sz w:val="18"/>
                <w:szCs w:val="20"/>
                <w:lang w:eastAsia="de-DE"/>
              </w:rPr>
            </w:pPr>
          </w:p>
          <w:p>
            <w:pPr>
              <w:rPr>
                <w:rFonts w:ascii="Arial" w:hAnsi="Arial" w:cs="Arial"/>
                <w:sz w:val="18"/>
              </w:rPr>
            </w:pPr>
          </w:p>
        </w:tc>
      </w:tr>
      <w:tr>
        <w:tc>
          <w:tcPr>
            <w:tcW w:w="988" w:type="dxa"/>
            <w:shd w:val="clear" w:color="auto" w:fill="F2F2F2" w:themeFill="background1" w:themeFillShade="F2"/>
          </w:tcPr>
          <w:p>
            <w:pPr>
              <w:jc w:val="center"/>
              <w:rPr>
                <w:rFonts w:ascii="Calibri" w:eastAsia="Times New Roman" w:hAnsi="Calibri" w:cs="Times New Roman"/>
                <w:b/>
                <w:bCs/>
                <w:sz w:val="24"/>
                <w:szCs w:val="24"/>
                <w:lang w:eastAsia="de-DE"/>
              </w:rPr>
            </w:pPr>
            <w:r>
              <w:rPr>
                <w:rFonts w:ascii="Calibri" w:eastAsia="Times New Roman" w:hAnsi="Calibri" w:cs="Times New Roman"/>
                <w:b/>
                <w:bCs/>
                <w:sz w:val="20"/>
                <w:szCs w:val="24"/>
                <w:lang w:eastAsia="de-DE"/>
              </w:rPr>
              <w:t>1.6.1</w:t>
            </w:r>
          </w:p>
        </w:tc>
        <w:tc>
          <w:tcPr>
            <w:tcW w:w="2551" w:type="dxa"/>
          </w:tcPr>
          <w:p>
            <w:pPr>
              <w:pStyle w:val="Listenabsatz"/>
              <w:numPr>
                <w:ilvl w:val="0"/>
                <w:numId w:val="6"/>
              </w:numPr>
              <w:ind w:left="0"/>
              <w:rPr>
                <w:rFonts w:ascii="Calibri" w:eastAsia="Times New Roman" w:hAnsi="Calibri" w:cs="Times New Roman"/>
                <w:sz w:val="18"/>
                <w:szCs w:val="20"/>
                <w:lang w:eastAsia="de-DE"/>
              </w:rPr>
            </w:pPr>
            <w:r>
              <w:rPr>
                <w:rFonts w:ascii="Calibri" w:eastAsia="Times New Roman" w:hAnsi="Calibri" w:cs="Times New Roman"/>
                <w:sz w:val="18"/>
                <w:szCs w:val="20"/>
                <w:lang w:eastAsia="de-DE"/>
              </w:rPr>
              <w:t>verwendete Stoffe und Technologien,</w:t>
            </w:r>
          </w:p>
          <w:p>
            <w:pPr>
              <w:pStyle w:val="Listenabsatz"/>
              <w:ind w:left="0"/>
              <w:rPr>
                <w:rFonts w:ascii="Calibri" w:eastAsia="Times New Roman" w:hAnsi="Calibri" w:cs="Times New Roman"/>
                <w:sz w:val="18"/>
                <w:szCs w:val="20"/>
                <w:lang w:eastAsia="de-DE"/>
              </w:rPr>
            </w:pPr>
          </w:p>
        </w:tc>
        <w:tc>
          <w:tcPr>
            <w:tcW w:w="1985" w:type="dxa"/>
          </w:tcPr>
          <w:p>
            <w:pPr>
              <w:rPr>
                <w:rFonts w:ascii="Arial" w:hAnsi="Arial" w:cs="Arial"/>
                <w:sz w:val="18"/>
              </w:rPr>
            </w:pPr>
          </w:p>
        </w:tc>
        <w:tc>
          <w:tcPr>
            <w:tcW w:w="9639" w:type="dxa"/>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Es werden Stoffe der Wassergefährdungsklasse 1 (schwach wassergefährdend) sowie Stoffe der Wassergefährdungsklasse 2 (wassergefährdend) eingesetzt (Betriebsmittel). </w:t>
            </w:r>
            <w:proofErr w:type="spellStart"/>
            <w:r>
              <w:rPr>
                <w:rFonts w:ascii="Calibri" w:eastAsia="Times New Roman" w:hAnsi="Calibri" w:cs="Times New Roman"/>
                <w:sz w:val="18"/>
                <w:szCs w:val="20"/>
                <w:lang w:eastAsia="de-DE"/>
              </w:rPr>
              <w:t>Havariebedingter</w:t>
            </w:r>
            <w:proofErr w:type="spellEnd"/>
            <w:r>
              <w:rPr>
                <w:rFonts w:ascii="Calibri" w:eastAsia="Times New Roman" w:hAnsi="Calibri" w:cs="Times New Roman"/>
                <w:sz w:val="18"/>
                <w:szCs w:val="20"/>
                <w:lang w:eastAsia="de-DE"/>
              </w:rPr>
              <w:t xml:space="preserve"> Austritt wird durch Auffangvorrichtungen für Schmierstoffe verhindert.  </w:t>
            </w:r>
          </w:p>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w:t>
            </w:r>
          </w:p>
          <w:p>
            <w:pPr>
              <w:rPr>
                <w:rFonts w:ascii="Arial" w:hAnsi="Arial" w:cs="Arial"/>
                <w:sz w:val="18"/>
              </w:rPr>
            </w:pPr>
          </w:p>
        </w:tc>
      </w:tr>
      <w:tr>
        <w:tc>
          <w:tcPr>
            <w:tcW w:w="988" w:type="dxa"/>
            <w:shd w:val="clear" w:color="auto" w:fill="F2F2F2" w:themeFill="background1" w:themeFillShade="F2"/>
          </w:tcPr>
          <w:p>
            <w:pPr>
              <w:jc w:val="center"/>
              <w:rPr>
                <w:rFonts w:ascii="Calibri" w:eastAsia="Times New Roman" w:hAnsi="Calibri" w:cs="Times New Roman"/>
                <w:b/>
                <w:bCs/>
                <w:sz w:val="24"/>
                <w:szCs w:val="24"/>
                <w:lang w:eastAsia="de-DE"/>
              </w:rPr>
            </w:pPr>
            <w:r>
              <w:rPr>
                <w:rFonts w:ascii="Calibri" w:eastAsia="Times New Roman" w:hAnsi="Calibri" w:cs="Times New Roman"/>
                <w:b/>
                <w:bCs/>
                <w:sz w:val="20"/>
                <w:szCs w:val="24"/>
                <w:lang w:eastAsia="de-DE"/>
              </w:rPr>
              <w:t>1.6.2</w:t>
            </w:r>
          </w:p>
        </w:tc>
        <w:tc>
          <w:tcPr>
            <w:tcW w:w="2551" w:type="dxa"/>
          </w:tcPr>
          <w:p>
            <w:pPr>
              <w:pStyle w:val="Listenabsatz"/>
              <w:numPr>
                <w:ilvl w:val="0"/>
                <w:numId w:val="6"/>
              </w:numPr>
              <w:ind w:left="0"/>
              <w:rPr>
                <w:rFonts w:ascii="Calibri" w:eastAsia="Times New Roman" w:hAnsi="Calibri" w:cs="Times New Roman"/>
                <w:sz w:val="18"/>
                <w:szCs w:val="20"/>
                <w:lang w:eastAsia="de-DE"/>
              </w:rPr>
            </w:pPr>
            <w:r>
              <w:rPr>
                <w:rFonts w:ascii="Calibri" w:eastAsia="Times New Roman" w:hAnsi="Calibri" w:cs="Times New Roman"/>
                <w:sz w:val="18"/>
                <w:szCs w:val="20"/>
                <w:lang w:eastAsia="de-DE"/>
              </w:rPr>
              <w:t>die Anfälligkeit des Vorhabens für Störfälle im Sinne des § 2 Nummer 7 der Störfall-Verordnung, insbesondere aufgrund seiner Verwirklichung innerhalb des angemessenen Sicherheitsabstandes zu Betriebsbereichen im Sinne des § 3 Absatz 5a des BImSchG</w:t>
            </w:r>
          </w:p>
        </w:tc>
        <w:tc>
          <w:tcPr>
            <w:tcW w:w="1985" w:type="dxa"/>
          </w:tcPr>
          <w:p>
            <w:pPr>
              <w:rPr>
                <w:rFonts w:ascii="Arial" w:hAnsi="Arial" w:cs="Arial"/>
                <w:sz w:val="18"/>
              </w:rPr>
            </w:pPr>
          </w:p>
        </w:tc>
        <w:tc>
          <w:tcPr>
            <w:tcW w:w="9639" w:type="dxa"/>
          </w:tcPr>
          <w:p>
            <w:pPr>
              <w:rPr>
                <w:rFonts w:ascii="Arial" w:hAnsi="Arial" w:cs="Arial"/>
                <w:sz w:val="18"/>
              </w:rPr>
            </w:pPr>
            <w:r>
              <w:rPr>
                <w:rFonts w:ascii="Calibri" w:eastAsia="Times New Roman" w:hAnsi="Calibri" w:cs="Times New Roman"/>
                <w:sz w:val="18"/>
                <w:szCs w:val="20"/>
                <w:lang w:eastAsia="de-DE"/>
              </w:rPr>
              <w:t>(-)</w:t>
            </w:r>
          </w:p>
        </w:tc>
      </w:tr>
      <w:tr>
        <w:tc>
          <w:tcPr>
            <w:tcW w:w="988" w:type="dxa"/>
            <w:shd w:val="clear" w:color="auto" w:fill="F2F2F2" w:themeFill="background1" w:themeFillShade="F2"/>
          </w:tcPr>
          <w:p>
            <w:pPr>
              <w:jc w:val="center"/>
              <w:rPr>
                <w:rFonts w:ascii="Calibri" w:eastAsia="Times New Roman" w:hAnsi="Calibri" w:cs="Times New Roman"/>
                <w:b/>
                <w:bCs/>
                <w:sz w:val="24"/>
                <w:szCs w:val="24"/>
                <w:lang w:eastAsia="de-DE"/>
              </w:rPr>
            </w:pPr>
            <w:r>
              <w:rPr>
                <w:rFonts w:ascii="Calibri" w:eastAsia="Times New Roman" w:hAnsi="Calibri" w:cs="Times New Roman"/>
                <w:b/>
                <w:bCs/>
                <w:sz w:val="20"/>
                <w:szCs w:val="24"/>
                <w:lang w:eastAsia="de-DE"/>
              </w:rPr>
              <w:t>1.7</w:t>
            </w:r>
          </w:p>
        </w:tc>
        <w:tc>
          <w:tcPr>
            <w:tcW w:w="2551" w:type="dxa"/>
          </w:tcPr>
          <w:p>
            <w:pPr>
              <w:pStyle w:val="Listenabsatz"/>
              <w:numPr>
                <w:ilvl w:val="0"/>
                <w:numId w:val="6"/>
              </w:numPr>
              <w:ind w:left="0"/>
              <w:rPr>
                <w:rFonts w:ascii="Calibri" w:eastAsia="Times New Roman" w:hAnsi="Calibri" w:cs="Times New Roman"/>
                <w:sz w:val="18"/>
                <w:szCs w:val="20"/>
                <w:lang w:eastAsia="de-DE"/>
              </w:rPr>
            </w:pPr>
            <w:r>
              <w:rPr>
                <w:rFonts w:ascii="Calibri" w:eastAsia="Times New Roman" w:hAnsi="Calibri" w:cs="Times New Roman"/>
                <w:sz w:val="18"/>
                <w:szCs w:val="20"/>
                <w:lang w:eastAsia="de-DE"/>
              </w:rPr>
              <w:t>Risiken für die menschliche Gesundheit, z. B. durch Verunreinigung von Wasser oder Luft.</w:t>
            </w:r>
          </w:p>
          <w:p>
            <w:pPr>
              <w:pStyle w:val="Listenabsatz"/>
              <w:numPr>
                <w:ilvl w:val="0"/>
                <w:numId w:val="6"/>
              </w:numPr>
              <w:ind w:left="0"/>
              <w:rPr>
                <w:rFonts w:ascii="Calibri" w:eastAsia="Times New Roman" w:hAnsi="Calibri" w:cs="Times New Roman"/>
                <w:sz w:val="18"/>
                <w:szCs w:val="20"/>
                <w:lang w:eastAsia="de-DE"/>
              </w:rPr>
            </w:pPr>
          </w:p>
          <w:p>
            <w:pPr>
              <w:pStyle w:val="Listenabsatz"/>
              <w:numPr>
                <w:ilvl w:val="0"/>
                <w:numId w:val="6"/>
              </w:numPr>
              <w:ind w:left="0"/>
              <w:rPr>
                <w:rFonts w:ascii="Calibri" w:eastAsia="Times New Roman" w:hAnsi="Calibri" w:cs="Times New Roman"/>
                <w:sz w:val="18"/>
                <w:szCs w:val="20"/>
                <w:lang w:eastAsia="de-DE"/>
              </w:rPr>
            </w:pPr>
          </w:p>
        </w:tc>
        <w:tc>
          <w:tcPr>
            <w:tcW w:w="1985" w:type="dxa"/>
          </w:tcPr>
          <w:p>
            <w:pPr>
              <w:rPr>
                <w:rFonts w:ascii="Arial" w:hAnsi="Arial" w:cs="Arial"/>
                <w:sz w:val="18"/>
              </w:rPr>
            </w:pPr>
          </w:p>
        </w:tc>
        <w:tc>
          <w:tcPr>
            <w:tcW w:w="9639" w:type="dxa"/>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mögliche anlage-, bau-, oder betriebsbedingte nachteilige Wirkungen:</w:t>
            </w:r>
          </w:p>
          <w:p>
            <w:pPr>
              <w:pStyle w:val="Listenabsatz"/>
              <w:numPr>
                <w:ilvl w:val="0"/>
                <w:numId w:val="7"/>
              </w:num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Schallemissionen (siehe 1.5),</w:t>
            </w:r>
          </w:p>
          <w:p>
            <w:pPr>
              <w:pStyle w:val="Listenabsatz"/>
              <w:numPr>
                <w:ilvl w:val="0"/>
                <w:numId w:val="7"/>
              </w:num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Schattenwurf der Anlagen (siehe 1.5), </w:t>
            </w:r>
          </w:p>
          <w:p>
            <w:pPr>
              <w:pStyle w:val="Listenabsatz"/>
              <w:numPr>
                <w:ilvl w:val="0"/>
                <w:numId w:val="7"/>
              </w:num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Lichtemissionen durch Befeuerung (siehe 1.5, </w:t>
            </w:r>
          </w:p>
          <w:p>
            <w:pPr>
              <w:pStyle w:val="Listenabsatz"/>
              <w:numPr>
                <w:ilvl w:val="0"/>
                <w:numId w:val="7"/>
              </w:num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Flächenentzug sowie</w:t>
            </w:r>
          </w:p>
          <w:p>
            <w:pPr>
              <w:pStyle w:val="Listenabsatz"/>
              <w:numPr>
                <w:ilvl w:val="0"/>
                <w:numId w:val="7"/>
              </w:num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eine Beeinträchtigung der Erholungsfunktion durch die negative landschaftsästhetische Fernwirkung der Anlagen </w:t>
            </w:r>
          </w:p>
          <w:p>
            <w:pPr>
              <w:rPr>
                <w:rFonts w:ascii="Calibri" w:eastAsia="Times New Roman" w:hAnsi="Calibri" w:cs="Times New Roman"/>
                <w:sz w:val="18"/>
                <w:szCs w:val="20"/>
                <w:lang w:eastAsia="de-DE"/>
              </w:rPr>
            </w:pPr>
          </w:p>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Die baubedingten Beeinträchtigungen des Schutzgutes Mensch sind nur kurzzeitig (3-4 Monate) und ohne erhebliche Auswirkungen auf die menschliche Gesundheit.</w:t>
            </w:r>
          </w:p>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Der dauerhafte Flächenentzug für die landwirtschaftliche Nutzung ist gering und nach Ende der Lebensdauer der WEA reversibel. </w:t>
            </w:r>
          </w:p>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Die zusätzlichen Beeinträchtigungen des landschaftsästhetischen Empfindens und des Erholungswertes der Landschaft sind auch aufgrund der bereits vorhandenen Windenergieanlagen ebenfalls nicht erheblich.</w:t>
            </w:r>
          </w:p>
          <w:p>
            <w:pPr>
              <w:rPr>
                <w:rFonts w:ascii="Calibri" w:eastAsia="Times New Roman" w:hAnsi="Calibri" w:cs="Times New Roman"/>
                <w:sz w:val="18"/>
                <w:szCs w:val="20"/>
                <w:lang w:eastAsia="de-DE"/>
              </w:rPr>
            </w:pPr>
          </w:p>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Insgesamt sind daher die Auswirkungen auf das Schutzgut Mensch nicht erheblich nachteilig.</w:t>
            </w:r>
          </w:p>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w:t>
            </w:r>
          </w:p>
        </w:tc>
      </w:tr>
    </w:tbl>
    <w:p>
      <w:pPr>
        <w:rPr>
          <w:rFonts w:ascii="Arial" w:hAnsi="Arial" w:cs="Arial"/>
          <w:sz w:val="24"/>
        </w:rPr>
      </w:pPr>
      <w:r>
        <w:rPr>
          <w:rFonts w:ascii="Arial" w:hAnsi="Arial" w:cs="Arial"/>
          <w:sz w:val="24"/>
        </w:rPr>
        <w:lastRenderedPageBreak/>
        <w:br w:type="textWrapping" w:clear="all"/>
      </w:r>
    </w:p>
    <w:tbl>
      <w:tblPr>
        <w:tblW w:w="15168" w:type="dxa"/>
        <w:tblInd w:w="-10" w:type="dxa"/>
        <w:tblCellMar>
          <w:left w:w="70" w:type="dxa"/>
          <w:right w:w="70" w:type="dxa"/>
        </w:tblCellMar>
        <w:tblLook w:val="04A0" w:firstRow="1" w:lastRow="0" w:firstColumn="1" w:lastColumn="0" w:noHBand="0" w:noVBand="1"/>
      </w:tblPr>
      <w:tblGrid>
        <w:gridCol w:w="15168"/>
      </w:tblGrid>
      <w:tr>
        <w:trPr>
          <w:trHeight w:val="540"/>
        </w:trPr>
        <w:tc>
          <w:tcPr>
            <w:tcW w:w="15168" w:type="dxa"/>
            <w:tcBorders>
              <w:top w:val="single" w:sz="8" w:space="0" w:color="auto"/>
              <w:left w:val="single" w:sz="8" w:space="0" w:color="auto"/>
              <w:bottom w:val="single" w:sz="8" w:space="0" w:color="auto"/>
              <w:right w:val="single" w:sz="8" w:space="0" w:color="000000"/>
            </w:tcBorders>
            <w:shd w:val="clear" w:color="000000" w:fill="D9D9D9"/>
            <w:vAlign w:val="center"/>
            <w:hideMark/>
          </w:tcPr>
          <w:p>
            <w:pPr>
              <w:spacing w:after="0" w:line="240" w:lineRule="auto"/>
              <w:rPr>
                <w:rFonts w:ascii="Calibri" w:eastAsia="Times New Roman" w:hAnsi="Calibri" w:cs="Times New Roman"/>
                <w:b/>
                <w:bCs/>
                <w:sz w:val="24"/>
                <w:szCs w:val="24"/>
                <w:lang w:eastAsia="de-DE"/>
              </w:rPr>
            </w:pPr>
            <w:r>
              <w:rPr>
                <w:rFonts w:ascii="Calibri" w:eastAsia="Times New Roman" w:hAnsi="Calibri" w:cs="Times New Roman"/>
                <w:b/>
                <w:bCs/>
                <w:sz w:val="24"/>
                <w:lang w:eastAsia="de-DE"/>
              </w:rPr>
              <w:t xml:space="preserve">2. Standort der Vorhaben (nach </w:t>
            </w:r>
            <w:r>
              <w:rPr>
                <w:rFonts w:ascii="Calibri" w:eastAsia="Times New Roman" w:hAnsi="Calibri" w:cs="Times New Roman"/>
                <w:b/>
                <w:bCs/>
                <w:sz w:val="24"/>
                <w:szCs w:val="24"/>
                <w:lang w:eastAsia="de-DE"/>
              </w:rPr>
              <w:t>Anlage 3 des UVPG)</w:t>
            </w:r>
          </w:p>
          <w:p>
            <w:pPr>
              <w:spacing w:after="0" w:line="240" w:lineRule="auto"/>
              <w:rPr>
                <w:rFonts w:ascii="Calibri" w:eastAsia="Times New Roman" w:hAnsi="Calibri" w:cs="Times New Roman"/>
                <w:b/>
                <w:bCs/>
                <w:sz w:val="24"/>
                <w:szCs w:val="24"/>
                <w:lang w:eastAsia="de-DE"/>
              </w:rPr>
            </w:pPr>
            <w:r>
              <w:rPr>
                <w:rFonts w:ascii="Calibri" w:eastAsia="Times New Roman" w:hAnsi="Calibri" w:cs="Times New Roman"/>
                <w:bCs/>
                <w:sz w:val="20"/>
                <w:lang w:eastAsia="de-DE"/>
              </w:rPr>
              <w:t>Die ökologische Empfindlichkeit eines Gebiets, das durch ein Vorhaben möglicherweise beeinträchtigt wird, ist insbesondere hinsichtlich folgender Nutzungs- und Schutzkriterien unter Berücksichtigung des Zusammenwirkens mit anderen Vorhaben in ihrem gemeinsamen Einwirkungsbereich zu beurteilen:</w:t>
            </w:r>
          </w:p>
        </w:tc>
      </w:tr>
    </w:tbl>
    <w:tbl>
      <w:tblPr>
        <w:tblStyle w:val="Tabellenraster"/>
        <w:tblW w:w="0" w:type="auto"/>
        <w:tblLook w:val="04A0" w:firstRow="1" w:lastRow="0" w:firstColumn="1" w:lastColumn="0" w:noHBand="0" w:noVBand="1"/>
      </w:tblPr>
      <w:tblGrid>
        <w:gridCol w:w="988"/>
        <w:gridCol w:w="2551"/>
        <w:gridCol w:w="1985"/>
        <w:gridCol w:w="9602"/>
      </w:tblGrid>
      <w:tr>
        <w:trPr>
          <w:tblHeader/>
        </w:trPr>
        <w:tc>
          <w:tcPr>
            <w:tcW w:w="3539" w:type="dxa"/>
            <w:gridSpan w:val="2"/>
            <w:shd w:val="clear" w:color="auto" w:fill="F2F2F2" w:themeFill="background1" w:themeFillShade="F2"/>
          </w:tcPr>
          <w:p>
            <w:pPr>
              <w:rPr>
                <w:rFonts w:ascii="Calibri" w:eastAsia="Times New Roman" w:hAnsi="Calibri" w:cs="Times New Roman"/>
                <w:b/>
                <w:bCs/>
                <w:sz w:val="20"/>
                <w:lang w:eastAsia="de-DE"/>
              </w:rPr>
            </w:pPr>
            <w:r>
              <w:rPr>
                <w:rFonts w:ascii="Arial" w:hAnsi="Arial" w:cs="Arial"/>
                <w:sz w:val="24"/>
              </w:rPr>
              <w:br w:type="page"/>
            </w:r>
            <w:r>
              <w:rPr>
                <w:rFonts w:ascii="Calibri" w:eastAsia="Times New Roman" w:hAnsi="Calibri" w:cs="Times New Roman"/>
                <w:b/>
                <w:bCs/>
                <w:sz w:val="20"/>
                <w:lang w:eastAsia="de-DE"/>
              </w:rPr>
              <w:t>Standort der Vorhaben nach Nr. 2 der Anlage 3 des UVPG</w:t>
            </w:r>
          </w:p>
          <w:p>
            <w:pPr>
              <w:rPr>
                <w:rFonts w:ascii="Calibri" w:eastAsia="Times New Roman" w:hAnsi="Calibri" w:cs="Times New Roman"/>
                <w:bCs/>
                <w:sz w:val="20"/>
                <w:lang w:eastAsia="de-DE"/>
              </w:rPr>
            </w:pPr>
          </w:p>
        </w:tc>
        <w:tc>
          <w:tcPr>
            <w:tcW w:w="1985" w:type="dxa"/>
            <w:shd w:val="clear" w:color="auto" w:fill="F2F2F2" w:themeFill="background1" w:themeFillShade="F2"/>
          </w:tcPr>
          <w:p>
            <w:pPr>
              <w:rPr>
                <w:rFonts w:ascii="Arial" w:hAnsi="Arial" w:cs="Arial"/>
                <w:sz w:val="24"/>
              </w:rPr>
            </w:pPr>
            <w:r>
              <w:rPr>
                <w:rFonts w:ascii="Calibri" w:eastAsia="Times New Roman" w:hAnsi="Calibri" w:cs="Times New Roman"/>
                <w:b/>
                <w:bCs/>
                <w:sz w:val="20"/>
                <w:lang w:eastAsia="de-DE"/>
              </w:rPr>
              <w:t>Wirkzonen bzw. Untersuchungsräume</w:t>
            </w:r>
          </w:p>
        </w:tc>
        <w:tc>
          <w:tcPr>
            <w:tcW w:w="9602" w:type="dxa"/>
            <w:shd w:val="clear" w:color="auto" w:fill="F2F2F2" w:themeFill="background1" w:themeFillShade="F2"/>
          </w:tcPr>
          <w:p>
            <w:pPr>
              <w:rPr>
                <w:rFonts w:ascii="Calibri" w:eastAsia="Times New Roman" w:hAnsi="Calibri" w:cs="Times New Roman"/>
                <w:b/>
                <w:bCs/>
                <w:sz w:val="20"/>
                <w:lang w:eastAsia="de-DE"/>
              </w:rPr>
            </w:pPr>
            <w:r>
              <w:rPr>
                <w:rFonts w:ascii="Calibri" w:eastAsia="Times New Roman" w:hAnsi="Calibri" w:cs="Times New Roman"/>
                <w:b/>
                <w:bCs/>
                <w:sz w:val="20"/>
                <w:lang w:eastAsia="de-DE"/>
              </w:rPr>
              <w:t>Einschätzung der Genehmigungsbehörde zu möglichen Empfindlichkeit/Betroffenheit des Standorts</w:t>
            </w:r>
          </w:p>
          <w:p>
            <w:pPr>
              <w:rPr>
                <w:rFonts w:ascii="Calibri" w:eastAsia="Times New Roman" w:hAnsi="Calibri" w:cs="Times New Roman"/>
                <w:b/>
                <w:bCs/>
                <w:sz w:val="20"/>
                <w:lang w:eastAsia="de-DE"/>
              </w:rPr>
            </w:pPr>
            <w:r>
              <w:rPr>
                <w:rFonts w:ascii="Calibri" w:eastAsia="Times New Roman" w:hAnsi="Calibri" w:cs="Times New Roman"/>
                <w:b/>
                <w:bCs/>
                <w:sz w:val="20"/>
                <w:lang w:eastAsia="de-DE"/>
              </w:rPr>
              <w:t>(Durch welchen Wirkfaktor ist ggf. eine Betroffenheit zu besorgen?)</w:t>
            </w:r>
          </w:p>
          <w:p>
            <w:pPr>
              <w:rPr>
                <w:rFonts w:ascii="Calibri" w:eastAsia="Times New Roman" w:hAnsi="Calibri" w:cs="Times New Roman"/>
                <w:b/>
                <w:bCs/>
                <w:sz w:val="20"/>
                <w:lang w:eastAsia="de-DE"/>
              </w:rPr>
            </w:pPr>
          </w:p>
          <w:p>
            <w:pPr>
              <w:rPr>
                <w:rFonts w:ascii="Calibri" w:eastAsia="Times New Roman" w:hAnsi="Calibri" w:cs="Times New Roman"/>
                <w:b/>
                <w:bCs/>
                <w:sz w:val="20"/>
                <w:lang w:eastAsia="de-DE"/>
              </w:rPr>
            </w:pPr>
          </w:p>
          <w:p>
            <w:pPr>
              <w:rPr>
                <w:rFonts w:ascii="Arial" w:hAnsi="Arial" w:cs="Arial"/>
                <w:sz w:val="20"/>
              </w:rPr>
            </w:pPr>
          </w:p>
        </w:tc>
      </w:tr>
      <w:tr>
        <w:tc>
          <w:tcPr>
            <w:tcW w:w="988" w:type="dxa"/>
            <w:tcBorders>
              <w:bottom w:val="single" w:sz="4" w:space="0" w:color="auto"/>
            </w:tcBorders>
            <w:shd w:val="clear" w:color="auto" w:fill="F2F2F2" w:themeFill="background1" w:themeFillShade="F2"/>
          </w:tcPr>
          <w:p>
            <w:pPr>
              <w:jc w:val="center"/>
              <w:rPr>
                <w:rFonts w:ascii="Calibri" w:eastAsia="Times New Roman" w:hAnsi="Calibri" w:cs="Times New Roman"/>
                <w:b/>
                <w:bCs/>
                <w:sz w:val="20"/>
                <w:szCs w:val="24"/>
                <w:lang w:eastAsia="de-DE"/>
              </w:rPr>
            </w:pPr>
            <w:r>
              <w:rPr>
                <w:rFonts w:ascii="Calibri" w:eastAsia="Times New Roman" w:hAnsi="Calibri" w:cs="Times New Roman"/>
                <w:b/>
                <w:bCs/>
                <w:sz w:val="20"/>
                <w:szCs w:val="24"/>
                <w:lang w:eastAsia="de-DE"/>
              </w:rPr>
              <w:t>2.1</w:t>
            </w:r>
          </w:p>
        </w:tc>
        <w:tc>
          <w:tcPr>
            <w:tcW w:w="2551" w:type="dxa"/>
            <w:tcBorders>
              <w:bottom w:val="single" w:sz="4" w:space="0" w:color="auto"/>
            </w:tcBorders>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bestehende Nutzung des Gebietes, insbesondere als Fläche für Siedlung und Erholung, für land-, forst- und fischereiwirtschaftliche Nutzungen, für sonstige wirtschaftliche und öffentliche Nutzungen, Verkehr, </w:t>
            </w:r>
            <w:proofErr w:type="spellStart"/>
            <w:r>
              <w:rPr>
                <w:rFonts w:ascii="Calibri" w:eastAsia="Times New Roman" w:hAnsi="Calibri" w:cs="Times New Roman"/>
                <w:sz w:val="18"/>
                <w:szCs w:val="20"/>
                <w:lang w:eastAsia="de-DE"/>
              </w:rPr>
              <w:t>Ver</w:t>
            </w:r>
            <w:proofErr w:type="spellEnd"/>
            <w:r>
              <w:rPr>
                <w:rFonts w:ascii="Calibri" w:eastAsia="Times New Roman" w:hAnsi="Calibri" w:cs="Times New Roman"/>
                <w:sz w:val="18"/>
                <w:szCs w:val="20"/>
                <w:lang w:eastAsia="de-DE"/>
              </w:rPr>
              <w:t>- und Entsorgung (Nutzungskriterien),</w:t>
            </w:r>
          </w:p>
          <w:p>
            <w:pPr>
              <w:rPr>
                <w:rFonts w:ascii="Calibri" w:eastAsia="Times New Roman" w:hAnsi="Calibri" w:cs="Times New Roman"/>
                <w:sz w:val="18"/>
                <w:szCs w:val="20"/>
                <w:lang w:eastAsia="de-DE"/>
              </w:rPr>
            </w:pPr>
          </w:p>
        </w:tc>
        <w:tc>
          <w:tcPr>
            <w:tcW w:w="1985" w:type="dxa"/>
            <w:tcBorders>
              <w:bottom w:val="single" w:sz="4" w:space="0" w:color="auto"/>
            </w:tcBorders>
          </w:tcPr>
          <w:p>
            <w:pPr>
              <w:rPr>
                <w:rFonts w:ascii="Calibri" w:eastAsia="Times New Roman" w:hAnsi="Calibri" w:cs="Times New Roman"/>
                <w:b/>
                <w:bCs/>
                <w:i/>
                <w:iCs/>
                <w:sz w:val="18"/>
                <w:szCs w:val="20"/>
                <w:lang w:eastAsia="de-DE"/>
              </w:rPr>
            </w:pPr>
          </w:p>
        </w:tc>
        <w:tc>
          <w:tcPr>
            <w:tcW w:w="9602" w:type="dxa"/>
            <w:tcBorders>
              <w:bottom w:val="single" w:sz="4" w:space="0" w:color="auto"/>
            </w:tcBorders>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Art und Umfang:</w:t>
            </w:r>
          </w:p>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Das Windeignungsgebiet (WEG) sowie der Standort der WEA liegen in einer intensiv genutzten Agrarlandschaft. Es kommt zu Flächenverlusten durch die Errichtung der WEA und der Zufahrt. Flächen im näheren Umfeld von Wohnsiedlungen sind nicht betroffen. Forst- und fischereiwirtschaftliche Belange werden nicht berührt. </w:t>
            </w:r>
          </w:p>
          <w:p>
            <w:pPr>
              <w:rPr>
                <w:rFonts w:ascii="Calibri" w:eastAsia="Times New Roman" w:hAnsi="Calibri" w:cs="Times New Roman"/>
                <w:sz w:val="18"/>
                <w:szCs w:val="20"/>
                <w:lang w:eastAsia="de-DE"/>
              </w:rPr>
            </w:pPr>
          </w:p>
          <w:p>
            <w:pPr>
              <w:rPr>
                <w:rFonts w:ascii="Calibri" w:eastAsia="Times New Roman" w:hAnsi="Calibri" w:cs="Times New Roman"/>
                <w:b/>
                <w:bCs/>
                <w:sz w:val="18"/>
                <w:szCs w:val="20"/>
                <w:lang w:eastAsia="de-DE"/>
              </w:rPr>
            </w:pPr>
            <w:r>
              <w:rPr>
                <w:rFonts w:ascii="Calibri" w:eastAsia="Times New Roman" w:hAnsi="Calibri" w:cs="Times New Roman"/>
                <w:sz w:val="18"/>
                <w:szCs w:val="20"/>
                <w:lang w:eastAsia="de-DE"/>
              </w:rPr>
              <w:t>(-)</w:t>
            </w:r>
          </w:p>
        </w:tc>
      </w:tr>
      <w:t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pPr>
              <w:jc w:val="center"/>
              <w:rPr>
                <w:rFonts w:ascii="Calibri" w:eastAsia="Times New Roman" w:hAnsi="Calibri" w:cs="Times New Roman"/>
                <w:b/>
                <w:bCs/>
                <w:sz w:val="20"/>
                <w:szCs w:val="24"/>
                <w:lang w:eastAsia="de-DE"/>
              </w:rPr>
            </w:pPr>
            <w:r>
              <w:rPr>
                <w:rFonts w:ascii="Calibri" w:eastAsia="Times New Roman" w:hAnsi="Calibri" w:cs="Times New Roman"/>
                <w:b/>
                <w:bCs/>
                <w:sz w:val="20"/>
                <w:szCs w:val="24"/>
                <w:lang w:eastAsia="de-DE"/>
              </w:rPr>
              <w:t>2.2</w:t>
            </w:r>
          </w:p>
        </w:tc>
        <w:tc>
          <w:tcPr>
            <w:tcW w:w="2551" w:type="dxa"/>
            <w:tcBorders>
              <w:top w:val="single" w:sz="4" w:space="0" w:color="auto"/>
              <w:left w:val="single" w:sz="4" w:space="0" w:color="auto"/>
              <w:bottom w:val="single" w:sz="4" w:space="0" w:color="auto"/>
              <w:right w:val="single" w:sz="4" w:space="0" w:color="auto"/>
            </w:tcBorders>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Reichtum, Verfügbarkeit, Qualität und Regenerationsfähigkeit der natürlichen Ressourcen, insbesondere Fläche, Boden, Landschaft, Wasser, Tiere, Pflanzen, biologische Vielfalt, des Gebiets und seines Untergrunds (Qualitätskriterien),</w:t>
            </w:r>
          </w:p>
          <w:p>
            <w:pPr>
              <w:rPr>
                <w:rFonts w:ascii="Calibri" w:eastAsia="Times New Roman" w:hAnsi="Calibri" w:cs="Times New Roman"/>
                <w:sz w:val="18"/>
                <w:szCs w:val="20"/>
                <w:lang w:eastAsia="de-DE"/>
              </w:rPr>
            </w:pPr>
          </w:p>
        </w:tc>
        <w:tc>
          <w:tcPr>
            <w:tcW w:w="1985" w:type="dxa"/>
            <w:tcBorders>
              <w:top w:val="single" w:sz="4" w:space="0" w:color="auto"/>
              <w:left w:val="single" w:sz="4" w:space="0" w:color="auto"/>
              <w:bottom w:val="single" w:sz="4" w:space="0" w:color="auto"/>
              <w:right w:val="single" w:sz="4" w:space="0" w:color="auto"/>
            </w:tcBorders>
          </w:tcPr>
          <w:p>
            <w:pPr>
              <w:rPr>
                <w:rFonts w:ascii="Calibri" w:eastAsia="Times New Roman" w:hAnsi="Calibri" w:cs="Times New Roman"/>
                <w:b/>
                <w:bCs/>
                <w:i/>
                <w:iCs/>
                <w:sz w:val="18"/>
                <w:szCs w:val="20"/>
                <w:lang w:eastAsia="de-DE"/>
              </w:rPr>
            </w:pPr>
          </w:p>
        </w:tc>
        <w:tc>
          <w:tcPr>
            <w:tcW w:w="9602" w:type="dxa"/>
            <w:tcBorders>
              <w:top w:val="single" w:sz="4" w:space="0" w:color="auto"/>
              <w:left w:val="single" w:sz="4" w:space="0" w:color="auto"/>
              <w:bottom w:val="single" w:sz="4" w:space="0" w:color="auto"/>
              <w:right w:val="single" w:sz="4" w:space="0" w:color="auto"/>
            </w:tcBorders>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Der direkte Vorhabenbereich sowie dessen Umfeld sind als Lebensraum von nur geringer Bedeutung. Es handelt sich um eine intensiv bewirtschaftete Ackerlandschaft mit geringer Biotop- und Pflanzenartenvielfalt.</w:t>
            </w:r>
          </w:p>
          <w:p>
            <w:pPr>
              <w:rPr>
                <w:rFonts w:ascii="Calibri" w:eastAsia="Times New Roman" w:hAnsi="Calibri" w:cs="Times New Roman"/>
                <w:b/>
                <w:bCs/>
                <w:sz w:val="18"/>
                <w:szCs w:val="20"/>
                <w:lang w:eastAsia="de-DE"/>
              </w:rPr>
            </w:pPr>
          </w:p>
        </w:tc>
      </w:tr>
      <w:t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pPr>
              <w:jc w:val="center"/>
              <w:rPr>
                <w:rFonts w:ascii="Calibri" w:eastAsia="Times New Roman" w:hAnsi="Calibri" w:cs="Times New Roman"/>
                <w:b/>
                <w:bCs/>
                <w:sz w:val="20"/>
                <w:szCs w:val="24"/>
                <w:lang w:eastAsia="de-DE"/>
              </w:rPr>
            </w:pPr>
          </w:p>
        </w:tc>
        <w:tc>
          <w:tcPr>
            <w:tcW w:w="2551" w:type="dxa"/>
            <w:tcBorders>
              <w:top w:val="single" w:sz="4" w:space="0" w:color="auto"/>
              <w:left w:val="single" w:sz="4" w:space="0" w:color="auto"/>
              <w:bottom w:val="single" w:sz="4" w:space="0" w:color="auto"/>
              <w:right w:val="single" w:sz="4" w:space="0" w:color="auto"/>
            </w:tcBorders>
          </w:tcPr>
          <w:p>
            <w:pPr>
              <w:pStyle w:val="Textkrper"/>
              <w:rPr>
                <w:rFonts w:ascii="Calibri" w:hAnsi="Calibri"/>
                <w:b/>
                <w:sz w:val="18"/>
              </w:rPr>
            </w:pPr>
            <w:r>
              <w:rPr>
                <w:rFonts w:ascii="Calibri" w:hAnsi="Calibri"/>
                <w:b/>
                <w:sz w:val="18"/>
              </w:rPr>
              <w:t>Boden</w:t>
            </w:r>
          </w:p>
          <w:p>
            <w:pPr>
              <w:pStyle w:val="Textkrper"/>
              <w:rPr>
                <w:rFonts w:ascii="Calibri" w:hAnsi="Calibri"/>
                <w:sz w:val="18"/>
              </w:rPr>
            </w:pPr>
            <w:r>
              <w:rPr>
                <w:rFonts w:ascii="Calibri" w:hAnsi="Calibri"/>
                <w:sz w:val="18"/>
              </w:rPr>
              <w:t>Empfindlichkeit gegenüber Bodenerosion;</w:t>
            </w:r>
          </w:p>
          <w:p>
            <w:pPr>
              <w:pStyle w:val="Textkrper"/>
              <w:rPr>
                <w:rFonts w:ascii="Calibri" w:hAnsi="Calibri"/>
                <w:sz w:val="18"/>
              </w:rPr>
            </w:pPr>
            <w:r>
              <w:rPr>
                <w:rFonts w:ascii="Calibri" w:hAnsi="Calibri"/>
                <w:sz w:val="18"/>
              </w:rPr>
              <w:t>Stoffliche Belastung der Böden;</w:t>
            </w:r>
          </w:p>
          <w:p>
            <w:pPr>
              <w:pStyle w:val="Textkrper"/>
              <w:rPr>
                <w:rFonts w:ascii="Calibri" w:hAnsi="Calibri"/>
                <w:sz w:val="18"/>
              </w:rPr>
            </w:pPr>
          </w:p>
          <w:p>
            <w:pPr>
              <w:pStyle w:val="Textkrper"/>
              <w:rPr>
                <w:rFonts w:ascii="Calibri" w:hAnsi="Calibri"/>
                <w:sz w:val="18"/>
              </w:rPr>
            </w:pPr>
          </w:p>
        </w:tc>
        <w:tc>
          <w:tcPr>
            <w:tcW w:w="1985" w:type="dxa"/>
            <w:tcBorders>
              <w:top w:val="single" w:sz="4" w:space="0" w:color="auto"/>
              <w:left w:val="single" w:sz="4" w:space="0" w:color="auto"/>
              <w:bottom w:val="single" w:sz="4" w:space="0" w:color="auto"/>
              <w:right w:val="single" w:sz="4" w:space="0" w:color="auto"/>
            </w:tcBorders>
          </w:tcPr>
          <w:p>
            <w:pPr>
              <w:rPr>
                <w:rFonts w:ascii="Calibri" w:eastAsia="Times New Roman" w:hAnsi="Calibri" w:cs="Times New Roman"/>
                <w:b/>
                <w:bCs/>
                <w:i/>
                <w:iCs/>
                <w:sz w:val="18"/>
                <w:szCs w:val="20"/>
                <w:lang w:eastAsia="de-DE"/>
              </w:rPr>
            </w:pPr>
          </w:p>
        </w:tc>
        <w:tc>
          <w:tcPr>
            <w:tcW w:w="9602" w:type="dxa"/>
            <w:tcBorders>
              <w:top w:val="single" w:sz="4" w:space="0" w:color="auto"/>
              <w:left w:val="single" w:sz="4" w:space="0" w:color="auto"/>
              <w:bottom w:val="single" w:sz="4" w:space="0" w:color="auto"/>
              <w:right w:val="single" w:sz="4" w:space="0" w:color="auto"/>
            </w:tcBorders>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Die natürlichen Bodenfunktionen der direkt vom Vorhaben betroffenen allerdings sehr kleinen Flächen (versiegelte / teilversiegelte Flächen) gehen vollständig verloren bzw. werden erheblich eingeschränkt.</w:t>
            </w:r>
          </w:p>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Erosionserscheinungen sind baubedingt möglich, gehen jedoch nicht über das Maß hinaus, das auch bei guter fachlicher Praxis der landwirtschaftlichen Nutzung eintritt. Besondere stoffliche Belastungen des Bodens sind nicht zu befürchten. Daher liegt diesbezüglich keine erhebliche Betroffenheit vor.</w:t>
            </w:r>
          </w:p>
          <w:p>
            <w:pPr>
              <w:rPr>
                <w:rFonts w:ascii="Calibri" w:eastAsia="Times New Roman" w:hAnsi="Calibri" w:cs="Times New Roman"/>
                <w:bCs/>
                <w:sz w:val="18"/>
                <w:szCs w:val="20"/>
                <w:lang w:eastAsia="de-DE"/>
              </w:rPr>
            </w:pPr>
            <w:r>
              <w:rPr>
                <w:rFonts w:ascii="Calibri" w:eastAsia="Times New Roman" w:hAnsi="Calibri" w:cs="Times New Roman"/>
                <w:bCs/>
                <w:sz w:val="18"/>
                <w:szCs w:val="20"/>
                <w:lang w:eastAsia="de-DE"/>
              </w:rPr>
              <w:t>(-)</w:t>
            </w:r>
          </w:p>
        </w:tc>
      </w:tr>
      <w:tr>
        <w:tc>
          <w:tcPr>
            <w:tcW w:w="988" w:type="dxa"/>
            <w:tcBorders>
              <w:top w:val="nil"/>
              <w:left w:val="single" w:sz="4" w:space="0" w:color="auto"/>
              <w:bottom w:val="single" w:sz="4" w:space="0" w:color="auto"/>
              <w:right w:val="single" w:sz="4" w:space="0" w:color="auto"/>
            </w:tcBorders>
            <w:shd w:val="clear" w:color="auto" w:fill="F2F2F2" w:themeFill="background1" w:themeFillShade="F2"/>
          </w:tcPr>
          <w:p>
            <w:pPr>
              <w:jc w:val="center"/>
              <w:rPr>
                <w:rFonts w:ascii="Calibri" w:eastAsia="Times New Roman" w:hAnsi="Calibri" w:cs="Times New Roman"/>
                <w:b/>
                <w:bCs/>
                <w:sz w:val="20"/>
                <w:szCs w:val="24"/>
                <w:lang w:eastAsia="de-DE"/>
              </w:rPr>
            </w:pPr>
          </w:p>
        </w:tc>
        <w:tc>
          <w:tcPr>
            <w:tcW w:w="2551" w:type="dxa"/>
            <w:tcBorders>
              <w:top w:val="nil"/>
              <w:left w:val="single" w:sz="4" w:space="0" w:color="auto"/>
              <w:bottom w:val="single" w:sz="4" w:space="0" w:color="auto"/>
              <w:right w:val="single" w:sz="4" w:space="0" w:color="auto"/>
            </w:tcBorders>
          </w:tcPr>
          <w:p>
            <w:pPr>
              <w:pStyle w:val="Textkrper"/>
              <w:rPr>
                <w:rFonts w:ascii="Calibri" w:hAnsi="Calibri"/>
                <w:sz w:val="18"/>
              </w:rPr>
            </w:pPr>
            <w:r>
              <w:rPr>
                <w:rFonts w:ascii="Calibri" w:hAnsi="Calibri"/>
                <w:b/>
                <w:sz w:val="18"/>
              </w:rPr>
              <w:t>Wasser</w:t>
            </w:r>
            <w:r>
              <w:rPr>
                <w:rFonts w:ascii="Calibri" w:hAnsi="Calibri"/>
                <w:sz w:val="18"/>
              </w:rPr>
              <w:t xml:space="preserve">beschaffenheit: Gewässergüte, Stoffhaushalt, hygienischer Zustand und </w:t>
            </w:r>
            <w:proofErr w:type="spellStart"/>
            <w:r>
              <w:rPr>
                <w:rFonts w:ascii="Calibri" w:hAnsi="Calibri"/>
                <w:sz w:val="18"/>
              </w:rPr>
              <w:t>planktische</w:t>
            </w:r>
            <w:proofErr w:type="spellEnd"/>
            <w:r>
              <w:rPr>
                <w:rFonts w:ascii="Calibri" w:hAnsi="Calibri"/>
                <w:sz w:val="18"/>
              </w:rPr>
              <w:t xml:space="preserve"> Biozönose,</w:t>
            </w:r>
          </w:p>
          <w:p>
            <w:pPr>
              <w:pStyle w:val="Textkrper"/>
              <w:rPr>
                <w:rFonts w:ascii="Calibri" w:hAnsi="Calibri"/>
                <w:sz w:val="18"/>
              </w:rPr>
            </w:pPr>
            <w:r>
              <w:rPr>
                <w:rFonts w:ascii="Calibri" w:hAnsi="Calibri"/>
                <w:sz w:val="18"/>
              </w:rPr>
              <w:lastRenderedPageBreak/>
              <w:t xml:space="preserve">Situation von Hydraulik/Hydrologie, Morphologie und Beschaffenheit der Gewässersedimente </w:t>
            </w:r>
          </w:p>
          <w:p>
            <w:pPr>
              <w:pStyle w:val="Textkrper"/>
              <w:rPr>
                <w:rFonts w:ascii="Calibri" w:hAnsi="Calibri"/>
                <w:sz w:val="18"/>
              </w:rPr>
            </w:pPr>
          </w:p>
        </w:tc>
        <w:tc>
          <w:tcPr>
            <w:tcW w:w="1985" w:type="dxa"/>
            <w:tcBorders>
              <w:top w:val="nil"/>
              <w:left w:val="single" w:sz="4" w:space="0" w:color="auto"/>
              <w:bottom w:val="single" w:sz="4" w:space="0" w:color="auto"/>
              <w:right w:val="single" w:sz="4" w:space="0" w:color="auto"/>
            </w:tcBorders>
          </w:tcPr>
          <w:p>
            <w:pPr>
              <w:rPr>
                <w:rFonts w:ascii="Calibri" w:eastAsia="Times New Roman" w:hAnsi="Calibri" w:cs="Times New Roman"/>
                <w:b/>
                <w:bCs/>
                <w:i/>
                <w:iCs/>
                <w:sz w:val="18"/>
                <w:szCs w:val="20"/>
                <w:lang w:eastAsia="de-DE"/>
              </w:rPr>
            </w:pPr>
          </w:p>
        </w:tc>
        <w:tc>
          <w:tcPr>
            <w:tcW w:w="9602" w:type="dxa"/>
            <w:tcBorders>
              <w:top w:val="nil"/>
              <w:left w:val="single" w:sz="4" w:space="0" w:color="auto"/>
              <w:bottom w:val="single" w:sz="4" w:space="0" w:color="auto"/>
              <w:right w:val="single" w:sz="4" w:space="0" w:color="auto"/>
            </w:tcBorders>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Oberflächengewässer sind nicht betroffen.</w:t>
            </w:r>
          </w:p>
          <w:p>
            <w:pPr>
              <w:rPr>
                <w:rFonts w:ascii="Calibri" w:eastAsia="Times New Roman" w:hAnsi="Calibri" w:cs="Times New Roman"/>
                <w:b/>
                <w:bCs/>
                <w:sz w:val="18"/>
                <w:szCs w:val="20"/>
                <w:lang w:eastAsia="de-DE"/>
              </w:rPr>
            </w:pPr>
          </w:p>
        </w:tc>
      </w:tr>
      <w:tr>
        <w:tc>
          <w:tcPr>
            <w:tcW w:w="988" w:type="dxa"/>
            <w:tcBorders>
              <w:top w:val="nil"/>
              <w:left w:val="single" w:sz="4" w:space="0" w:color="auto"/>
              <w:bottom w:val="single" w:sz="4" w:space="0" w:color="auto"/>
              <w:right w:val="single" w:sz="4" w:space="0" w:color="auto"/>
            </w:tcBorders>
            <w:shd w:val="clear" w:color="auto" w:fill="F2F2F2" w:themeFill="background1" w:themeFillShade="F2"/>
          </w:tcPr>
          <w:p>
            <w:pPr>
              <w:jc w:val="center"/>
              <w:rPr>
                <w:rFonts w:ascii="Calibri" w:eastAsia="Times New Roman" w:hAnsi="Calibri" w:cs="Times New Roman"/>
                <w:b/>
                <w:bCs/>
                <w:sz w:val="20"/>
                <w:szCs w:val="24"/>
                <w:lang w:eastAsia="de-DE"/>
              </w:rPr>
            </w:pPr>
          </w:p>
        </w:tc>
        <w:tc>
          <w:tcPr>
            <w:tcW w:w="2551" w:type="dxa"/>
            <w:tcBorders>
              <w:top w:val="nil"/>
              <w:left w:val="single" w:sz="4" w:space="0" w:color="auto"/>
              <w:bottom w:val="single" w:sz="4" w:space="0" w:color="auto"/>
              <w:right w:val="single" w:sz="4" w:space="0" w:color="auto"/>
            </w:tcBorders>
          </w:tcPr>
          <w:p>
            <w:pPr>
              <w:pStyle w:val="Textkrper"/>
              <w:rPr>
                <w:rFonts w:ascii="Calibri" w:hAnsi="Calibri"/>
                <w:sz w:val="18"/>
              </w:rPr>
            </w:pPr>
            <w:r>
              <w:rPr>
                <w:rFonts w:ascii="Calibri" w:hAnsi="Calibri"/>
                <w:b/>
                <w:sz w:val="18"/>
              </w:rPr>
              <w:t>Grundwasser</w:t>
            </w:r>
            <w:r>
              <w:rPr>
                <w:rFonts w:ascii="Calibri" w:hAnsi="Calibri"/>
                <w:sz w:val="18"/>
              </w:rPr>
              <w:t>beschaffenheit (Qualität), l- Geologie/-Hydrologie</w:t>
            </w:r>
          </w:p>
          <w:p>
            <w:pPr>
              <w:pStyle w:val="Textkrper"/>
              <w:rPr>
                <w:rFonts w:ascii="Calibri" w:hAnsi="Calibri"/>
                <w:sz w:val="18"/>
              </w:rPr>
            </w:pPr>
          </w:p>
          <w:p>
            <w:pPr>
              <w:pStyle w:val="Textkrper"/>
              <w:rPr>
                <w:rFonts w:ascii="Calibri" w:hAnsi="Calibri"/>
                <w:sz w:val="18"/>
              </w:rPr>
            </w:pPr>
          </w:p>
        </w:tc>
        <w:tc>
          <w:tcPr>
            <w:tcW w:w="1985" w:type="dxa"/>
            <w:tcBorders>
              <w:top w:val="nil"/>
              <w:left w:val="single" w:sz="4" w:space="0" w:color="auto"/>
              <w:bottom w:val="single" w:sz="4" w:space="0" w:color="auto"/>
              <w:right w:val="single" w:sz="4" w:space="0" w:color="auto"/>
            </w:tcBorders>
          </w:tcPr>
          <w:p>
            <w:pPr>
              <w:rPr>
                <w:rFonts w:ascii="Calibri" w:eastAsia="Times New Roman" w:hAnsi="Calibri" w:cs="Times New Roman"/>
                <w:b/>
                <w:bCs/>
                <w:i/>
                <w:iCs/>
                <w:sz w:val="18"/>
                <w:szCs w:val="20"/>
                <w:lang w:eastAsia="de-DE"/>
              </w:rPr>
            </w:pPr>
          </w:p>
        </w:tc>
        <w:tc>
          <w:tcPr>
            <w:tcW w:w="9602" w:type="dxa"/>
            <w:tcBorders>
              <w:top w:val="nil"/>
              <w:left w:val="single" w:sz="4" w:space="0" w:color="auto"/>
              <w:bottom w:val="single" w:sz="4" w:space="0" w:color="auto"/>
              <w:right w:val="single" w:sz="4" w:space="0" w:color="auto"/>
            </w:tcBorders>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Eine Grundwasserbeeinträchtigung durch Bau und Betrieb der Anlagen über das Maß, welches bei der landwirtschaftlichen Nutzung auftritt, ist nicht zu erwarten.</w:t>
            </w:r>
          </w:p>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Im direkten Vorhabenbereich wird die Grundwasserneubildungsfunktion kaum eingeschränkt. </w:t>
            </w:r>
          </w:p>
          <w:p>
            <w:pPr>
              <w:rPr>
                <w:rFonts w:ascii="Calibri" w:eastAsia="Times New Roman" w:hAnsi="Calibri" w:cs="Times New Roman"/>
                <w:b/>
                <w:bCs/>
                <w:sz w:val="18"/>
                <w:szCs w:val="20"/>
                <w:lang w:eastAsia="de-DE"/>
              </w:rPr>
            </w:pPr>
          </w:p>
        </w:tc>
      </w:tr>
      <w:tr>
        <w:tc>
          <w:tcPr>
            <w:tcW w:w="988" w:type="dxa"/>
            <w:tcBorders>
              <w:top w:val="nil"/>
              <w:left w:val="single" w:sz="4" w:space="0" w:color="auto"/>
              <w:bottom w:val="single" w:sz="4" w:space="0" w:color="auto"/>
              <w:right w:val="single" w:sz="4" w:space="0" w:color="auto"/>
            </w:tcBorders>
            <w:shd w:val="clear" w:color="auto" w:fill="F2F2F2" w:themeFill="background1" w:themeFillShade="F2"/>
          </w:tcPr>
          <w:p>
            <w:pPr>
              <w:jc w:val="center"/>
              <w:rPr>
                <w:rFonts w:ascii="Calibri" w:eastAsia="Times New Roman" w:hAnsi="Calibri" w:cs="Times New Roman"/>
                <w:b/>
                <w:bCs/>
                <w:sz w:val="20"/>
                <w:szCs w:val="24"/>
                <w:lang w:eastAsia="de-DE"/>
              </w:rPr>
            </w:pPr>
          </w:p>
        </w:tc>
        <w:tc>
          <w:tcPr>
            <w:tcW w:w="2551" w:type="dxa"/>
            <w:tcBorders>
              <w:top w:val="nil"/>
              <w:left w:val="single" w:sz="4" w:space="0" w:color="auto"/>
              <w:bottom w:val="single" w:sz="4" w:space="0" w:color="auto"/>
              <w:right w:val="single" w:sz="4" w:space="0" w:color="auto"/>
            </w:tcBorders>
          </w:tcPr>
          <w:p>
            <w:pPr>
              <w:pStyle w:val="Textkrper"/>
              <w:rPr>
                <w:rFonts w:ascii="Calibri" w:hAnsi="Calibri"/>
                <w:sz w:val="18"/>
              </w:rPr>
            </w:pPr>
            <w:r>
              <w:rPr>
                <w:rFonts w:ascii="Calibri" w:hAnsi="Calibri"/>
                <w:b/>
                <w:sz w:val="18"/>
              </w:rPr>
              <w:t>Luft</w:t>
            </w:r>
            <w:r>
              <w:rPr>
                <w:rFonts w:ascii="Calibri" w:hAnsi="Calibri"/>
                <w:sz w:val="18"/>
              </w:rPr>
              <w:t>qualität, z.B. Kurgebiete</w:t>
            </w:r>
          </w:p>
          <w:p>
            <w:pPr>
              <w:pStyle w:val="Textkrper"/>
              <w:rPr>
                <w:rFonts w:ascii="Calibri" w:hAnsi="Calibri"/>
                <w:sz w:val="18"/>
              </w:rPr>
            </w:pPr>
          </w:p>
          <w:p>
            <w:pPr>
              <w:pStyle w:val="Textkrper"/>
              <w:rPr>
                <w:rFonts w:ascii="Calibri" w:hAnsi="Calibri"/>
                <w:sz w:val="18"/>
              </w:rPr>
            </w:pPr>
          </w:p>
        </w:tc>
        <w:tc>
          <w:tcPr>
            <w:tcW w:w="1985" w:type="dxa"/>
            <w:tcBorders>
              <w:top w:val="nil"/>
              <w:left w:val="single" w:sz="4" w:space="0" w:color="auto"/>
              <w:bottom w:val="single" w:sz="4" w:space="0" w:color="auto"/>
              <w:right w:val="single" w:sz="4" w:space="0" w:color="auto"/>
            </w:tcBorders>
          </w:tcPr>
          <w:p>
            <w:pPr>
              <w:rPr>
                <w:rFonts w:ascii="Calibri" w:eastAsia="Times New Roman" w:hAnsi="Calibri" w:cs="Times New Roman"/>
                <w:b/>
                <w:bCs/>
                <w:i/>
                <w:iCs/>
                <w:sz w:val="18"/>
                <w:szCs w:val="20"/>
                <w:lang w:eastAsia="de-DE"/>
              </w:rPr>
            </w:pPr>
          </w:p>
        </w:tc>
        <w:tc>
          <w:tcPr>
            <w:tcW w:w="9602" w:type="dxa"/>
            <w:tcBorders>
              <w:top w:val="nil"/>
              <w:left w:val="single" w:sz="4" w:space="0" w:color="auto"/>
              <w:bottom w:val="single" w:sz="4" w:space="0" w:color="auto"/>
              <w:right w:val="single" w:sz="4" w:space="0" w:color="auto"/>
            </w:tcBorders>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Es befinden sich keine Gebiete mit hohem Anspruch an die Luftqualität in der Nähe des Vorhabens. Zudem ist durch die Errichtung und den Betrieb der Anlagen keine Veränderung der Luftqualität am Standort zu erwarten. </w:t>
            </w:r>
          </w:p>
          <w:p>
            <w:pPr>
              <w:rPr>
                <w:rFonts w:ascii="Calibri" w:eastAsia="Times New Roman" w:hAnsi="Calibri" w:cs="Times New Roman"/>
                <w:b/>
                <w:bCs/>
                <w:sz w:val="18"/>
                <w:szCs w:val="20"/>
                <w:lang w:eastAsia="de-DE"/>
              </w:rPr>
            </w:pPr>
          </w:p>
        </w:tc>
      </w:tr>
      <w:tr>
        <w:tc>
          <w:tcPr>
            <w:tcW w:w="988" w:type="dxa"/>
            <w:tcBorders>
              <w:top w:val="nil"/>
              <w:left w:val="single" w:sz="4" w:space="0" w:color="auto"/>
              <w:bottom w:val="single" w:sz="4" w:space="0" w:color="auto"/>
              <w:right w:val="single" w:sz="4" w:space="0" w:color="auto"/>
            </w:tcBorders>
            <w:shd w:val="clear" w:color="auto" w:fill="F2F2F2" w:themeFill="background1" w:themeFillShade="F2"/>
          </w:tcPr>
          <w:p>
            <w:pPr>
              <w:jc w:val="center"/>
              <w:rPr>
                <w:rFonts w:ascii="Calibri" w:eastAsia="Times New Roman" w:hAnsi="Calibri" w:cs="Times New Roman"/>
                <w:b/>
                <w:bCs/>
                <w:sz w:val="20"/>
                <w:szCs w:val="24"/>
                <w:lang w:eastAsia="de-DE"/>
              </w:rPr>
            </w:pPr>
          </w:p>
        </w:tc>
        <w:tc>
          <w:tcPr>
            <w:tcW w:w="2551" w:type="dxa"/>
            <w:tcBorders>
              <w:top w:val="nil"/>
              <w:left w:val="single" w:sz="4" w:space="0" w:color="auto"/>
              <w:bottom w:val="single" w:sz="4" w:space="0" w:color="auto"/>
              <w:right w:val="single" w:sz="4" w:space="0" w:color="auto"/>
            </w:tcBorders>
          </w:tcPr>
          <w:p>
            <w:pPr>
              <w:pStyle w:val="Textkrper"/>
              <w:rPr>
                <w:rFonts w:ascii="Calibri" w:hAnsi="Calibri"/>
                <w:b/>
                <w:sz w:val="18"/>
              </w:rPr>
            </w:pPr>
            <w:r>
              <w:rPr>
                <w:rFonts w:ascii="Calibri" w:hAnsi="Calibri"/>
                <w:b/>
                <w:sz w:val="18"/>
              </w:rPr>
              <w:t>Flora und Fauna</w:t>
            </w:r>
          </w:p>
          <w:p>
            <w:pPr>
              <w:pStyle w:val="Textkrper"/>
              <w:rPr>
                <w:rFonts w:ascii="Calibri" w:hAnsi="Calibri"/>
                <w:sz w:val="18"/>
              </w:rPr>
            </w:pPr>
          </w:p>
        </w:tc>
        <w:tc>
          <w:tcPr>
            <w:tcW w:w="1985" w:type="dxa"/>
            <w:tcBorders>
              <w:top w:val="nil"/>
              <w:left w:val="single" w:sz="4" w:space="0" w:color="auto"/>
              <w:bottom w:val="single" w:sz="4" w:space="0" w:color="auto"/>
              <w:right w:val="single" w:sz="4" w:space="0" w:color="auto"/>
            </w:tcBorders>
          </w:tcPr>
          <w:p>
            <w:pPr>
              <w:rPr>
                <w:rFonts w:ascii="Calibri" w:eastAsia="Times New Roman" w:hAnsi="Calibri" w:cs="Times New Roman"/>
                <w:b/>
                <w:bCs/>
                <w:i/>
                <w:iCs/>
                <w:sz w:val="18"/>
                <w:szCs w:val="20"/>
                <w:lang w:eastAsia="de-DE"/>
              </w:rPr>
            </w:pPr>
          </w:p>
        </w:tc>
        <w:tc>
          <w:tcPr>
            <w:tcW w:w="9602" w:type="dxa"/>
            <w:tcBorders>
              <w:top w:val="nil"/>
              <w:left w:val="single" w:sz="4" w:space="0" w:color="auto"/>
              <w:bottom w:val="single" w:sz="4" w:space="0" w:color="auto"/>
              <w:right w:val="single" w:sz="4" w:space="0" w:color="auto"/>
            </w:tcBorders>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Der direkte Vorhabenbereich sowie dessen Umfeld sind als Lebensraum für Pflanzen und Tiere von nur geringer Bedeutung. Es handelt sich um eine intensiv bewirtschaftete Ackerlandschaft mit geringer Biotop- und Pflanzenvielfalt. Eine Vorbelastung ist durch die bereits bestehenden 21 WEA gegeben. </w:t>
            </w:r>
          </w:p>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Um erheblich nachteilige Auswirkungen auf die Fauna auszuschließen werden Vermeidungsmaßnahmen während Bauphase und Anlagenbetrieb durchgeführt. Dazu gehören die </w:t>
            </w:r>
            <w:proofErr w:type="spellStart"/>
            <w:r>
              <w:rPr>
                <w:rFonts w:ascii="Calibri" w:eastAsia="Times New Roman" w:hAnsi="Calibri" w:cs="Times New Roman"/>
                <w:sz w:val="18"/>
                <w:szCs w:val="20"/>
                <w:lang w:eastAsia="de-DE"/>
              </w:rPr>
              <w:t>Baufeldberäumung</w:t>
            </w:r>
            <w:proofErr w:type="spellEnd"/>
            <w:r>
              <w:rPr>
                <w:rFonts w:ascii="Calibri" w:eastAsia="Times New Roman" w:hAnsi="Calibri" w:cs="Times New Roman"/>
                <w:sz w:val="18"/>
                <w:szCs w:val="20"/>
                <w:lang w:eastAsia="de-DE"/>
              </w:rPr>
              <w:t xml:space="preserve"> außerhalb der Brutperiode zum Schutze der Bodenbrüter, ökologische Bauüberwachung evtl. Amphibienwanderungen. Für Fische, Rundmäuler, Weichtiere, Krebstiere, Spinnentiere und weitere niedere Tiere der FFH-RL ist die </w:t>
            </w:r>
            <w:proofErr w:type="spellStart"/>
            <w:r>
              <w:rPr>
                <w:rFonts w:ascii="Calibri" w:eastAsia="Times New Roman" w:hAnsi="Calibri" w:cs="Times New Roman"/>
                <w:sz w:val="18"/>
                <w:szCs w:val="20"/>
                <w:lang w:eastAsia="de-DE"/>
              </w:rPr>
              <w:t>Habitatausstattung</w:t>
            </w:r>
            <w:proofErr w:type="spellEnd"/>
            <w:r>
              <w:rPr>
                <w:rFonts w:ascii="Calibri" w:eastAsia="Times New Roman" w:hAnsi="Calibri" w:cs="Times New Roman"/>
                <w:sz w:val="18"/>
                <w:szCs w:val="20"/>
                <w:lang w:eastAsia="de-DE"/>
              </w:rPr>
              <w:t xml:space="preserve"> ungeeignet. Der Bereich der WEA (</w:t>
            </w:r>
            <w:proofErr w:type="spellStart"/>
            <w:r>
              <w:rPr>
                <w:rFonts w:ascii="Calibri" w:eastAsia="Times New Roman" w:hAnsi="Calibri" w:cs="Times New Roman"/>
                <w:sz w:val="18"/>
                <w:szCs w:val="20"/>
                <w:lang w:eastAsia="de-DE"/>
              </w:rPr>
              <w:t>Mastfuß</w:t>
            </w:r>
            <w:proofErr w:type="spellEnd"/>
            <w:r>
              <w:rPr>
                <w:rFonts w:ascii="Calibri" w:eastAsia="Times New Roman" w:hAnsi="Calibri" w:cs="Times New Roman"/>
                <w:sz w:val="18"/>
                <w:szCs w:val="20"/>
                <w:lang w:eastAsia="de-DE"/>
              </w:rPr>
              <w:t xml:space="preserve">, Kranstellfläche) wird für Greifvögel </w:t>
            </w:r>
            <w:proofErr w:type="spellStart"/>
            <w:r>
              <w:rPr>
                <w:rFonts w:ascii="Calibri" w:eastAsia="Times New Roman" w:hAnsi="Calibri" w:cs="Times New Roman"/>
                <w:sz w:val="18"/>
                <w:szCs w:val="20"/>
                <w:lang w:eastAsia="de-DE"/>
              </w:rPr>
              <w:t>deattraktiviert</w:t>
            </w:r>
            <w:proofErr w:type="spellEnd"/>
            <w:r>
              <w:rPr>
                <w:rFonts w:ascii="Calibri" w:eastAsia="Times New Roman" w:hAnsi="Calibri" w:cs="Times New Roman"/>
                <w:sz w:val="18"/>
                <w:szCs w:val="20"/>
                <w:lang w:eastAsia="de-DE"/>
              </w:rPr>
              <w:t xml:space="preserve">. Weiterhin erfolgt die Abschaltung der WEA zu Attraktivitätszeitpunkten (z.B. Bodenbearbeitung, Mahd) entsprechend den Hinweisen der AAB WEA Teil Vögel. Das Vorhabengebiet bietet keine bedeutenden </w:t>
            </w:r>
            <w:proofErr w:type="spellStart"/>
            <w:r>
              <w:rPr>
                <w:rFonts w:ascii="Calibri" w:eastAsia="Times New Roman" w:hAnsi="Calibri" w:cs="Times New Roman"/>
                <w:sz w:val="18"/>
                <w:szCs w:val="20"/>
                <w:lang w:eastAsia="de-DE"/>
              </w:rPr>
              <w:t>Habitatstrukturen</w:t>
            </w:r>
            <w:proofErr w:type="spellEnd"/>
            <w:r>
              <w:rPr>
                <w:rFonts w:ascii="Calibri" w:eastAsia="Times New Roman" w:hAnsi="Calibri" w:cs="Times New Roman"/>
                <w:sz w:val="18"/>
                <w:szCs w:val="20"/>
                <w:lang w:eastAsia="de-DE"/>
              </w:rPr>
              <w:t xml:space="preserve"> für Fledermäuse. Zum Schutz der potenziellen Fledermausvorkommen am Standort erfolgt im Rahmen einer </w:t>
            </w:r>
            <w:proofErr w:type="spellStart"/>
            <w:r>
              <w:rPr>
                <w:rFonts w:ascii="Calibri" w:eastAsia="Times New Roman" w:hAnsi="Calibri" w:cs="Times New Roman"/>
                <w:sz w:val="18"/>
                <w:szCs w:val="20"/>
                <w:lang w:eastAsia="de-DE"/>
              </w:rPr>
              <w:t>worst</w:t>
            </w:r>
            <w:proofErr w:type="spellEnd"/>
            <w:r>
              <w:rPr>
                <w:rFonts w:ascii="Calibri" w:eastAsia="Times New Roman" w:hAnsi="Calibri" w:cs="Times New Roman"/>
                <w:sz w:val="18"/>
                <w:szCs w:val="20"/>
                <w:lang w:eastAsia="de-DE"/>
              </w:rPr>
              <w:t xml:space="preserve"> </w:t>
            </w:r>
            <w:proofErr w:type="spellStart"/>
            <w:r>
              <w:rPr>
                <w:rFonts w:ascii="Calibri" w:eastAsia="Times New Roman" w:hAnsi="Calibri" w:cs="Times New Roman"/>
                <w:sz w:val="18"/>
                <w:szCs w:val="20"/>
                <w:lang w:eastAsia="de-DE"/>
              </w:rPr>
              <w:t>case</w:t>
            </w:r>
            <w:proofErr w:type="spellEnd"/>
            <w:r>
              <w:rPr>
                <w:rFonts w:ascii="Calibri" w:eastAsia="Times New Roman" w:hAnsi="Calibri" w:cs="Times New Roman"/>
                <w:sz w:val="18"/>
                <w:szCs w:val="20"/>
                <w:lang w:eastAsia="de-DE"/>
              </w:rPr>
              <w:t xml:space="preserve"> Betrachtung die Abschaltung der WEA entsprechend den Hinweisen der AAB WEA Teil Fledermäuse vom 10. Juli bis 30. September in den Nachtzeiten.</w:t>
            </w:r>
          </w:p>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Das geplante Vorhaben liegt innerhalb des 2 km Prüfbereichs zu einem kartierten </w:t>
            </w:r>
            <w:proofErr w:type="spellStart"/>
            <w:r>
              <w:rPr>
                <w:rFonts w:ascii="Calibri" w:eastAsia="Times New Roman" w:hAnsi="Calibri" w:cs="Times New Roman"/>
                <w:sz w:val="18"/>
                <w:szCs w:val="20"/>
                <w:lang w:eastAsia="de-DE"/>
              </w:rPr>
              <w:t>Rotmilanhorst</w:t>
            </w:r>
            <w:proofErr w:type="spellEnd"/>
            <w:r>
              <w:rPr>
                <w:rFonts w:ascii="Calibri" w:eastAsia="Times New Roman" w:hAnsi="Calibri" w:cs="Times New Roman"/>
                <w:sz w:val="18"/>
                <w:szCs w:val="20"/>
                <w:lang w:eastAsia="de-DE"/>
              </w:rPr>
              <w:t xml:space="preserve"> im </w:t>
            </w:r>
            <w:proofErr w:type="spellStart"/>
            <w:r>
              <w:rPr>
                <w:rFonts w:ascii="Calibri" w:eastAsia="Times New Roman" w:hAnsi="Calibri" w:cs="Times New Roman"/>
                <w:sz w:val="18"/>
                <w:szCs w:val="20"/>
                <w:lang w:eastAsia="de-DE"/>
              </w:rPr>
              <w:t>Völschower</w:t>
            </w:r>
            <w:proofErr w:type="spellEnd"/>
            <w:r>
              <w:rPr>
                <w:rFonts w:ascii="Calibri" w:eastAsia="Times New Roman" w:hAnsi="Calibri" w:cs="Times New Roman"/>
                <w:sz w:val="18"/>
                <w:szCs w:val="20"/>
                <w:lang w:eastAsia="de-DE"/>
              </w:rPr>
              <w:t xml:space="preserve"> Holz. Als Vermeidungsmaßnahme sollen Lenkungsflächen in der Gemarkung </w:t>
            </w:r>
            <w:proofErr w:type="spellStart"/>
            <w:r>
              <w:rPr>
                <w:rFonts w:ascii="Calibri" w:eastAsia="Times New Roman" w:hAnsi="Calibri" w:cs="Times New Roman"/>
                <w:sz w:val="18"/>
                <w:szCs w:val="20"/>
                <w:lang w:eastAsia="de-DE"/>
              </w:rPr>
              <w:t>Kronsberg</w:t>
            </w:r>
            <w:proofErr w:type="spellEnd"/>
            <w:r>
              <w:rPr>
                <w:rFonts w:ascii="Calibri" w:eastAsia="Times New Roman" w:hAnsi="Calibri" w:cs="Times New Roman"/>
                <w:sz w:val="18"/>
                <w:szCs w:val="20"/>
                <w:lang w:eastAsia="de-DE"/>
              </w:rPr>
              <w:t xml:space="preserve"> angelegt werden. Für Rastvögel ist das Vorhabengebiet von geringer bis mittlerer Bedeutung.</w:t>
            </w:r>
          </w:p>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Die durch das Vorhabengebiet berührte, nach aktuellem Kenntnisstand windenergiesensible Fauna wurde abschließend durch den Antragsteller geprüft. Unter Umsetzung der Vermeidungs- und Lenkungsmaßnahmen ist keine erhebliche Beeinträchtigung zu erwarten.  </w:t>
            </w:r>
          </w:p>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w:t>
            </w:r>
          </w:p>
        </w:tc>
      </w:tr>
      <w:tr>
        <w:tc>
          <w:tcPr>
            <w:tcW w:w="988" w:type="dxa"/>
            <w:tcBorders>
              <w:top w:val="nil"/>
              <w:left w:val="single" w:sz="4" w:space="0" w:color="auto"/>
              <w:bottom w:val="single" w:sz="4" w:space="0" w:color="auto"/>
              <w:right w:val="single" w:sz="4" w:space="0" w:color="auto"/>
            </w:tcBorders>
            <w:shd w:val="clear" w:color="auto" w:fill="F2F2F2" w:themeFill="background1" w:themeFillShade="F2"/>
          </w:tcPr>
          <w:p>
            <w:pPr>
              <w:jc w:val="center"/>
              <w:rPr>
                <w:rFonts w:ascii="Calibri" w:eastAsia="Times New Roman" w:hAnsi="Calibri" w:cs="Times New Roman"/>
                <w:b/>
                <w:bCs/>
                <w:sz w:val="20"/>
                <w:szCs w:val="24"/>
                <w:lang w:eastAsia="de-DE"/>
              </w:rPr>
            </w:pPr>
          </w:p>
        </w:tc>
        <w:tc>
          <w:tcPr>
            <w:tcW w:w="2551" w:type="dxa"/>
            <w:tcBorders>
              <w:top w:val="nil"/>
              <w:left w:val="single" w:sz="4" w:space="0" w:color="auto"/>
              <w:bottom w:val="single" w:sz="4" w:space="0" w:color="auto"/>
              <w:right w:val="single" w:sz="4" w:space="0" w:color="auto"/>
            </w:tcBorders>
          </w:tcPr>
          <w:p>
            <w:pPr>
              <w:pStyle w:val="Textkrper"/>
              <w:rPr>
                <w:rFonts w:ascii="Calibri" w:hAnsi="Calibri"/>
                <w:b/>
                <w:sz w:val="18"/>
              </w:rPr>
            </w:pPr>
            <w:r>
              <w:rPr>
                <w:rFonts w:ascii="Calibri" w:hAnsi="Calibri"/>
                <w:b/>
                <w:sz w:val="18"/>
              </w:rPr>
              <w:t>Landschaftsbild</w:t>
            </w:r>
          </w:p>
          <w:p>
            <w:pPr>
              <w:pStyle w:val="Textkrper"/>
              <w:rPr>
                <w:rFonts w:ascii="Calibri" w:hAnsi="Calibri"/>
                <w:sz w:val="18"/>
              </w:rPr>
            </w:pPr>
          </w:p>
        </w:tc>
        <w:tc>
          <w:tcPr>
            <w:tcW w:w="1985" w:type="dxa"/>
            <w:tcBorders>
              <w:top w:val="nil"/>
              <w:left w:val="single" w:sz="4" w:space="0" w:color="auto"/>
              <w:bottom w:val="single" w:sz="4" w:space="0" w:color="auto"/>
              <w:right w:val="single" w:sz="4" w:space="0" w:color="auto"/>
            </w:tcBorders>
          </w:tcPr>
          <w:p>
            <w:pPr>
              <w:rPr>
                <w:rFonts w:ascii="Calibri" w:eastAsia="Times New Roman" w:hAnsi="Calibri" w:cs="Times New Roman"/>
                <w:bCs/>
                <w:iCs/>
                <w:sz w:val="18"/>
                <w:szCs w:val="20"/>
                <w:lang w:eastAsia="de-DE"/>
              </w:rPr>
            </w:pPr>
            <w:r>
              <w:rPr>
                <w:rFonts w:ascii="Calibri" w:eastAsia="Times New Roman" w:hAnsi="Calibri" w:cs="Times New Roman"/>
                <w:bCs/>
                <w:iCs/>
                <w:sz w:val="18"/>
                <w:szCs w:val="20"/>
                <w:lang w:eastAsia="de-DE"/>
              </w:rPr>
              <w:t>Unzerschnittene landschaftliche Freiräume, Stufe 4 – sehr hoch;</w:t>
            </w:r>
          </w:p>
          <w:p>
            <w:pPr>
              <w:rPr>
                <w:rFonts w:ascii="Calibri" w:eastAsia="Times New Roman" w:hAnsi="Calibri" w:cs="Times New Roman"/>
                <w:bCs/>
                <w:iCs/>
                <w:sz w:val="18"/>
                <w:szCs w:val="20"/>
                <w:lang w:eastAsia="de-DE"/>
              </w:rPr>
            </w:pPr>
          </w:p>
          <w:p>
            <w:pPr>
              <w:rPr>
                <w:rFonts w:ascii="Calibri" w:eastAsia="Times New Roman" w:hAnsi="Calibri" w:cs="Times New Roman"/>
                <w:bCs/>
                <w:iCs/>
                <w:sz w:val="18"/>
                <w:szCs w:val="20"/>
                <w:lang w:eastAsia="de-DE"/>
              </w:rPr>
            </w:pPr>
            <w:r>
              <w:rPr>
                <w:rFonts w:ascii="Calibri" w:eastAsia="Times New Roman" w:hAnsi="Calibri" w:cs="Times New Roman"/>
                <w:bCs/>
                <w:iCs/>
                <w:sz w:val="18"/>
                <w:szCs w:val="20"/>
                <w:lang w:eastAsia="de-DE"/>
              </w:rPr>
              <w:t xml:space="preserve">Landschaftsbildpotenzial, Stufe 4 – sehr </w:t>
            </w:r>
            <w:r>
              <w:rPr>
                <w:rFonts w:ascii="Calibri" w:eastAsia="Times New Roman" w:hAnsi="Calibri" w:cs="Times New Roman"/>
                <w:bCs/>
                <w:iCs/>
                <w:sz w:val="18"/>
                <w:szCs w:val="20"/>
                <w:lang w:eastAsia="de-DE"/>
              </w:rPr>
              <w:lastRenderedPageBreak/>
              <w:t>hoch, einschließlich 1000 m Abstandspuffer</w:t>
            </w:r>
          </w:p>
        </w:tc>
        <w:tc>
          <w:tcPr>
            <w:tcW w:w="9602" w:type="dxa"/>
            <w:tcBorders>
              <w:top w:val="nil"/>
              <w:left w:val="single" w:sz="4" w:space="0" w:color="auto"/>
              <w:bottom w:val="single" w:sz="4" w:space="0" w:color="auto"/>
              <w:right w:val="single" w:sz="4" w:space="0" w:color="auto"/>
            </w:tcBorders>
          </w:tcPr>
          <w:p>
            <w:pPr>
              <w:rPr>
                <w:rFonts w:ascii="Calibri" w:eastAsia="Times New Roman" w:hAnsi="Calibri" w:cs="Times New Roman"/>
                <w:b/>
                <w:bCs/>
                <w:sz w:val="18"/>
                <w:szCs w:val="20"/>
                <w:lang w:eastAsia="de-DE"/>
              </w:rPr>
            </w:pPr>
            <w:r>
              <w:rPr>
                <w:rFonts w:ascii="Calibri" w:eastAsia="Times New Roman" w:hAnsi="Calibri" w:cs="Times New Roman"/>
                <w:sz w:val="18"/>
                <w:szCs w:val="20"/>
                <w:lang w:eastAsia="de-DE"/>
              </w:rPr>
              <w:lastRenderedPageBreak/>
              <w:t xml:space="preserve">In Verbindung mit den bestehenden WEA ist die zusätzliche subjektive Beeinträchtigung als gering anzusehen und rührt im Wesentlichen von der größeren Anlagenhöhe der zu errichtenden Anlage. Beim Nahbereich der WEA handelt es sich um ausgeräumte Agrarlandschaft mit geringer Wertigkeit. Das Landschaftsbildpotenzial ist gering bis mittel. Landschaftsräume mit der Potenzialstufe 4 liegen im Bereich ab ca. 5 km und werden entsprechend nicht unmittelbar beeinträchtigt. Der Eingriff in das Landschaftsbild wird kompensiert (Ökokonten „Landschaftsverbesserung südlich der </w:t>
            </w:r>
            <w:proofErr w:type="spellStart"/>
            <w:r>
              <w:rPr>
                <w:rFonts w:ascii="Calibri" w:eastAsia="Times New Roman" w:hAnsi="Calibri" w:cs="Times New Roman"/>
                <w:sz w:val="18"/>
                <w:szCs w:val="20"/>
                <w:lang w:eastAsia="de-DE"/>
              </w:rPr>
              <w:t>Peene</w:t>
            </w:r>
            <w:proofErr w:type="spellEnd"/>
            <w:r>
              <w:rPr>
                <w:rFonts w:ascii="Calibri" w:eastAsia="Times New Roman" w:hAnsi="Calibri" w:cs="Times New Roman"/>
                <w:sz w:val="18"/>
                <w:szCs w:val="20"/>
                <w:lang w:eastAsia="de-DE"/>
              </w:rPr>
              <w:t xml:space="preserve">“ VG-017 und Quellkuppe </w:t>
            </w:r>
            <w:proofErr w:type="spellStart"/>
            <w:r>
              <w:rPr>
                <w:rFonts w:ascii="Calibri" w:eastAsia="Times New Roman" w:hAnsi="Calibri" w:cs="Times New Roman"/>
                <w:sz w:val="18"/>
                <w:szCs w:val="20"/>
                <w:lang w:eastAsia="de-DE"/>
              </w:rPr>
              <w:t>Trantow</w:t>
            </w:r>
            <w:proofErr w:type="spellEnd"/>
            <w:r>
              <w:rPr>
                <w:rFonts w:ascii="Calibri" w:eastAsia="Times New Roman" w:hAnsi="Calibri" w:cs="Times New Roman"/>
                <w:sz w:val="18"/>
                <w:szCs w:val="20"/>
                <w:lang w:eastAsia="de-DE"/>
              </w:rPr>
              <w:t>/</w:t>
            </w:r>
            <w:proofErr w:type="spellStart"/>
            <w:r>
              <w:rPr>
                <w:rFonts w:ascii="Calibri" w:eastAsia="Times New Roman" w:hAnsi="Calibri" w:cs="Times New Roman"/>
                <w:sz w:val="18"/>
                <w:szCs w:val="20"/>
                <w:lang w:eastAsia="de-DE"/>
              </w:rPr>
              <w:t>Loitz</w:t>
            </w:r>
            <w:proofErr w:type="spellEnd"/>
            <w:r>
              <w:rPr>
                <w:rFonts w:ascii="Calibri" w:eastAsia="Times New Roman" w:hAnsi="Calibri" w:cs="Times New Roman"/>
                <w:sz w:val="18"/>
                <w:szCs w:val="20"/>
                <w:lang w:eastAsia="de-DE"/>
              </w:rPr>
              <w:t>“).   (-)</w:t>
            </w:r>
          </w:p>
        </w:tc>
      </w:tr>
      <w:tr>
        <w:tc>
          <w:tcPr>
            <w:tcW w:w="988" w:type="dxa"/>
            <w:tcBorders>
              <w:top w:val="single" w:sz="4" w:space="0" w:color="auto"/>
            </w:tcBorders>
            <w:shd w:val="clear" w:color="auto" w:fill="F2F2F2" w:themeFill="background1" w:themeFillShade="F2"/>
          </w:tcPr>
          <w:p>
            <w:pPr>
              <w:jc w:val="center"/>
              <w:rPr>
                <w:rFonts w:ascii="Calibri" w:eastAsia="Times New Roman" w:hAnsi="Calibri" w:cs="Times New Roman"/>
                <w:b/>
                <w:bCs/>
                <w:sz w:val="20"/>
                <w:szCs w:val="24"/>
                <w:lang w:eastAsia="de-DE"/>
              </w:rPr>
            </w:pPr>
            <w:r>
              <w:rPr>
                <w:rFonts w:ascii="Calibri" w:eastAsia="Times New Roman" w:hAnsi="Calibri" w:cs="Times New Roman"/>
                <w:b/>
                <w:bCs/>
                <w:sz w:val="20"/>
                <w:szCs w:val="24"/>
                <w:lang w:eastAsia="de-DE"/>
              </w:rPr>
              <w:lastRenderedPageBreak/>
              <w:t>2.3</w:t>
            </w:r>
          </w:p>
        </w:tc>
        <w:tc>
          <w:tcPr>
            <w:tcW w:w="14138" w:type="dxa"/>
            <w:gridSpan w:val="3"/>
            <w:tcBorders>
              <w:top w:val="single" w:sz="4" w:space="0" w:color="auto"/>
            </w:tcBorders>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Belastbarkeit der Schutzgüter unter besonderer Berücksichtigung folgender Gebiete und von Art und Umfang des ihnen jeweils zugewiesenen Schutzes (Schutzkriterien):</w:t>
            </w:r>
          </w:p>
          <w:p>
            <w:pPr>
              <w:rPr>
                <w:rFonts w:ascii="Calibri" w:eastAsia="Times New Roman" w:hAnsi="Calibri" w:cs="Times New Roman"/>
                <w:b/>
                <w:bCs/>
                <w:sz w:val="18"/>
                <w:szCs w:val="20"/>
                <w:lang w:eastAsia="de-DE"/>
              </w:rPr>
            </w:pPr>
          </w:p>
        </w:tc>
      </w:tr>
      <w:tr>
        <w:tc>
          <w:tcPr>
            <w:tcW w:w="988" w:type="dxa"/>
            <w:shd w:val="clear" w:color="auto" w:fill="F2F2F2" w:themeFill="background1" w:themeFillShade="F2"/>
          </w:tcPr>
          <w:p>
            <w:pPr>
              <w:jc w:val="center"/>
              <w:rPr>
                <w:rFonts w:ascii="Calibri" w:eastAsia="Times New Roman" w:hAnsi="Calibri" w:cs="Times New Roman"/>
                <w:b/>
                <w:bCs/>
                <w:sz w:val="24"/>
                <w:szCs w:val="24"/>
                <w:lang w:eastAsia="de-DE"/>
              </w:rPr>
            </w:pPr>
            <w:r>
              <w:rPr>
                <w:rFonts w:ascii="Calibri" w:eastAsia="Times New Roman" w:hAnsi="Calibri" w:cs="Times New Roman"/>
                <w:b/>
                <w:bCs/>
                <w:sz w:val="20"/>
                <w:szCs w:val="24"/>
                <w:lang w:eastAsia="de-DE"/>
              </w:rPr>
              <w:t>2.3.1</w:t>
            </w:r>
          </w:p>
        </w:tc>
        <w:tc>
          <w:tcPr>
            <w:tcW w:w="2551" w:type="dxa"/>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Natura 2000-Gebiete nach § 7 Absatz 1 Nummer 8 des Bundesnaturschutzgesetzes</w:t>
            </w:r>
          </w:p>
        </w:tc>
        <w:tc>
          <w:tcPr>
            <w:tcW w:w="1985" w:type="dxa"/>
          </w:tcPr>
          <w:p>
            <w:pPr>
              <w:rPr>
                <w:rFonts w:ascii="Calibri" w:eastAsia="Times New Roman" w:hAnsi="Calibri" w:cs="Times New Roman"/>
                <w:bCs/>
                <w:iCs/>
                <w:sz w:val="18"/>
                <w:szCs w:val="20"/>
                <w:lang w:eastAsia="de-DE"/>
              </w:rPr>
            </w:pPr>
            <w:r>
              <w:rPr>
                <w:rFonts w:ascii="Calibri" w:eastAsia="Times New Roman" w:hAnsi="Calibri" w:cs="Times New Roman"/>
                <w:bCs/>
                <w:iCs/>
                <w:sz w:val="18"/>
                <w:szCs w:val="20"/>
                <w:lang w:eastAsia="de-DE"/>
              </w:rPr>
              <w:t>Europäisches Vogelschutzgebiet + 500m</w:t>
            </w:r>
          </w:p>
        </w:tc>
        <w:tc>
          <w:tcPr>
            <w:tcW w:w="9602" w:type="dxa"/>
          </w:tcPr>
          <w:p>
            <w:pPr>
              <w:rPr>
                <w:rFonts w:ascii="Calibri" w:eastAsia="Times New Roman" w:hAnsi="Calibri" w:cs="Times New Roman"/>
                <w:b/>
                <w:bCs/>
                <w:sz w:val="18"/>
                <w:szCs w:val="20"/>
                <w:lang w:eastAsia="de-DE"/>
              </w:rPr>
            </w:pPr>
            <w:r>
              <w:rPr>
                <w:rFonts w:ascii="Calibri" w:eastAsia="Times New Roman" w:hAnsi="Calibri" w:cs="Times New Roman"/>
                <w:b/>
                <w:bCs/>
                <w:sz w:val="18"/>
                <w:szCs w:val="20"/>
                <w:lang w:eastAsia="de-DE"/>
              </w:rPr>
              <w:t>1. FFH-Gebiet von gemeinschaftlicher Bedeutung nördlich "</w:t>
            </w:r>
            <w:proofErr w:type="spellStart"/>
            <w:r>
              <w:rPr>
                <w:rFonts w:ascii="Calibri" w:eastAsia="Times New Roman" w:hAnsi="Calibri" w:cs="Times New Roman"/>
                <w:b/>
                <w:bCs/>
                <w:sz w:val="18"/>
                <w:szCs w:val="20"/>
                <w:lang w:eastAsia="de-DE"/>
              </w:rPr>
              <w:t>Peenetal</w:t>
            </w:r>
            <w:proofErr w:type="spellEnd"/>
            <w:r>
              <w:rPr>
                <w:rFonts w:ascii="Calibri" w:eastAsia="Times New Roman" w:hAnsi="Calibri" w:cs="Times New Roman"/>
                <w:b/>
                <w:bCs/>
                <w:sz w:val="18"/>
                <w:szCs w:val="20"/>
                <w:lang w:eastAsia="de-DE"/>
              </w:rPr>
              <w:t xml:space="preserve"> mit Zuflüssen, Kleingewässerlandschaft am </w:t>
            </w:r>
            <w:proofErr w:type="spellStart"/>
            <w:r>
              <w:rPr>
                <w:rFonts w:ascii="Calibri" w:eastAsia="Times New Roman" w:hAnsi="Calibri" w:cs="Times New Roman"/>
                <w:b/>
                <w:bCs/>
                <w:sz w:val="18"/>
                <w:szCs w:val="20"/>
                <w:lang w:eastAsia="de-DE"/>
              </w:rPr>
              <w:t>Kummerower</w:t>
            </w:r>
            <w:proofErr w:type="spellEnd"/>
            <w:r>
              <w:rPr>
                <w:rFonts w:ascii="Calibri" w:eastAsia="Times New Roman" w:hAnsi="Calibri" w:cs="Times New Roman"/>
                <w:b/>
                <w:bCs/>
                <w:sz w:val="18"/>
                <w:szCs w:val="20"/>
                <w:lang w:eastAsia="de-DE"/>
              </w:rPr>
              <w:t xml:space="preserve"> See" DE 2045-302in das das Europäische Vogelschutzgebiet „</w:t>
            </w:r>
            <w:proofErr w:type="spellStart"/>
            <w:r>
              <w:rPr>
                <w:rFonts w:ascii="Calibri" w:eastAsia="Times New Roman" w:hAnsi="Calibri" w:cs="Times New Roman"/>
                <w:b/>
                <w:bCs/>
                <w:sz w:val="18"/>
                <w:szCs w:val="20"/>
                <w:lang w:eastAsia="de-DE"/>
              </w:rPr>
              <w:t>Peenetallandschaft</w:t>
            </w:r>
            <w:proofErr w:type="spellEnd"/>
            <w:r>
              <w:rPr>
                <w:rFonts w:ascii="Calibri" w:eastAsia="Times New Roman" w:hAnsi="Calibri" w:cs="Times New Roman"/>
                <w:b/>
                <w:bCs/>
                <w:sz w:val="18"/>
                <w:szCs w:val="20"/>
                <w:lang w:eastAsia="de-DE"/>
              </w:rPr>
              <w:t xml:space="preserve">“ SPA 2147-401 eingebettet ist (Entfernung zum Vorhabenstandort: ca. 2,5 km); südlich Vogelschutzgebiet „Großes Landgrabental, </w:t>
            </w:r>
            <w:proofErr w:type="spellStart"/>
            <w:r>
              <w:rPr>
                <w:rFonts w:ascii="Calibri" w:eastAsia="Times New Roman" w:hAnsi="Calibri" w:cs="Times New Roman"/>
                <w:b/>
                <w:bCs/>
                <w:sz w:val="18"/>
                <w:szCs w:val="20"/>
                <w:lang w:eastAsia="de-DE"/>
              </w:rPr>
              <w:t>Galenbecker</w:t>
            </w:r>
            <w:proofErr w:type="spellEnd"/>
            <w:r>
              <w:rPr>
                <w:rFonts w:ascii="Calibri" w:eastAsia="Times New Roman" w:hAnsi="Calibri" w:cs="Times New Roman"/>
                <w:b/>
                <w:bCs/>
                <w:sz w:val="18"/>
                <w:szCs w:val="20"/>
                <w:lang w:eastAsia="de-DE"/>
              </w:rPr>
              <w:t xml:space="preserve"> und </w:t>
            </w:r>
            <w:proofErr w:type="spellStart"/>
            <w:r>
              <w:rPr>
                <w:rFonts w:ascii="Calibri" w:eastAsia="Times New Roman" w:hAnsi="Calibri" w:cs="Times New Roman"/>
                <w:b/>
                <w:bCs/>
                <w:sz w:val="18"/>
                <w:szCs w:val="20"/>
                <w:lang w:eastAsia="de-DE"/>
              </w:rPr>
              <w:t>Putzarer</w:t>
            </w:r>
            <w:proofErr w:type="spellEnd"/>
            <w:r>
              <w:rPr>
                <w:rFonts w:ascii="Calibri" w:eastAsia="Times New Roman" w:hAnsi="Calibri" w:cs="Times New Roman"/>
                <w:b/>
                <w:bCs/>
                <w:sz w:val="18"/>
                <w:szCs w:val="20"/>
                <w:lang w:eastAsia="de-DE"/>
              </w:rPr>
              <w:t xml:space="preserve"> See“ SPA 2347-401 (Entfernung zum Vorhabenstandort: ca. 11,4 km) </w:t>
            </w:r>
            <w:r>
              <w:rPr>
                <w:rFonts w:ascii="Calibri" w:eastAsia="Times New Roman" w:hAnsi="Calibri" w:cs="Times New Roman"/>
                <w:sz w:val="18"/>
                <w:szCs w:val="20"/>
                <w:lang w:eastAsia="de-DE"/>
              </w:rPr>
              <w:t>Auswirkungen des Vorhabens auf die Schutzziele des FFH-Gebietes (DE 2045-302) sind aufgrund der Vorhabenspezifik und der Entfernung von 2,5 km zum Anlagenstandort ausgeschlossen.</w:t>
            </w:r>
            <w:r>
              <w:rPr>
                <w:rFonts w:ascii="Calibri" w:eastAsia="Times New Roman" w:hAnsi="Calibri" w:cs="Times New Roman"/>
                <w:sz w:val="18"/>
                <w:szCs w:val="20"/>
                <w:highlight w:val="yellow"/>
                <w:lang w:eastAsia="de-DE"/>
              </w:rPr>
              <w:br/>
            </w:r>
            <w:r>
              <w:rPr>
                <w:rFonts w:ascii="Calibri" w:eastAsia="Times New Roman" w:hAnsi="Calibri" w:cs="Times New Roman"/>
                <w:sz w:val="18"/>
                <w:szCs w:val="20"/>
                <w:lang w:eastAsia="de-DE"/>
              </w:rPr>
              <w:t xml:space="preserve">2.Das </w:t>
            </w:r>
            <w:proofErr w:type="spellStart"/>
            <w:r>
              <w:rPr>
                <w:rFonts w:ascii="Calibri" w:eastAsia="Times New Roman" w:hAnsi="Calibri" w:cs="Times New Roman"/>
                <w:sz w:val="18"/>
                <w:szCs w:val="20"/>
                <w:lang w:eastAsia="de-DE"/>
              </w:rPr>
              <w:t>Europ</w:t>
            </w:r>
            <w:proofErr w:type="spellEnd"/>
            <w:r>
              <w:rPr>
                <w:rFonts w:ascii="Calibri" w:eastAsia="Times New Roman" w:hAnsi="Calibri" w:cs="Times New Roman"/>
                <w:sz w:val="18"/>
                <w:szCs w:val="20"/>
                <w:lang w:eastAsia="de-DE"/>
              </w:rPr>
              <w:t>. Vogelschutzgebiet „</w:t>
            </w:r>
            <w:proofErr w:type="spellStart"/>
            <w:r>
              <w:rPr>
                <w:rFonts w:ascii="Calibri" w:eastAsia="Times New Roman" w:hAnsi="Calibri" w:cs="Times New Roman"/>
                <w:sz w:val="18"/>
                <w:szCs w:val="20"/>
                <w:lang w:eastAsia="de-DE"/>
              </w:rPr>
              <w:t>Peenetallandschaft</w:t>
            </w:r>
            <w:proofErr w:type="spellEnd"/>
            <w:r>
              <w:rPr>
                <w:rFonts w:ascii="Calibri" w:eastAsia="Times New Roman" w:hAnsi="Calibri" w:cs="Times New Roman"/>
                <w:sz w:val="18"/>
                <w:szCs w:val="20"/>
                <w:lang w:eastAsia="de-DE"/>
              </w:rPr>
              <w:t>“ liegt in ca. 2,5 km Entfernung und ist damit nicht unmittelbar bzw. mittelbar betroffen. Die jeweils wertgebenden, windkraftsensiblen Vogelarten wurden, sofern die WEA im Tabu- oder Prüfbereich liegt, unter Pkt. 2.2 betrachtet</w:t>
            </w:r>
            <w:r>
              <w:rPr>
                <w:rFonts w:ascii="Calibri" w:eastAsia="Times New Roman" w:hAnsi="Calibri" w:cs="Times New Roman"/>
                <w:sz w:val="18"/>
                <w:szCs w:val="20"/>
                <w:lang w:eastAsia="de-DE"/>
              </w:rPr>
              <w:br/>
              <w:t>(-)</w:t>
            </w:r>
          </w:p>
        </w:tc>
      </w:tr>
      <w:tr>
        <w:tc>
          <w:tcPr>
            <w:tcW w:w="988" w:type="dxa"/>
            <w:shd w:val="clear" w:color="auto" w:fill="F2F2F2" w:themeFill="background1" w:themeFillShade="F2"/>
          </w:tcPr>
          <w:p>
            <w:pPr>
              <w:jc w:val="center"/>
              <w:rPr>
                <w:rFonts w:ascii="Arial" w:hAnsi="Arial" w:cs="Arial"/>
                <w:sz w:val="20"/>
              </w:rPr>
            </w:pPr>
            <w:r>
              <w:rPr>
                <w:rFonts w:ascii="Calibri" w:eastAsia="Times New Roman" w:hAnsi="Calibri" w:cs="Times New Roman"/>
                <w:b/>
                <w:bCs/>
                <w:sz w:val="20"/>
                <w:szCs w:val="24"/>
                <w:lang w:eastAsia="de-DE"/>
              </w:rPr>
              <w:t>2.3.2</w:t>
            </w:r>
          </w:p>
        </w:tc>
        <w:tc>
          <w:tcPr>
            <w:tcW w:w="2551" w:type="dxa"/>
          </w:tcPr>
          <w:p>
            <w:pPr>
              <w:rPr>
                <w:rFonts w:ascii="Arial" w:hAnsi="Arial" w:cs="Arial"/>
                <w:sz w:val="18"/>
              </w:rPr>
            </w:pPr>
            <w:r>
              <w:rPr>
                <w:rFonts w:ascii="Calibri" w:eastAsia="Times New Roman" w:hAnsi="Calibri" w:cs="Times New Roman"/>
                <w:sz w:val="18"/>
                <w:szCs w:val="20"/>
                <w:lang w:eastAsia="de-DE"/>
              </w:rPr>
              <w:t>Naturschutzgebiete nach § 23 des Bundesnaturschutzgesetzes, soweit nicht bereits von Nummer 2.3.1 erfasst</w:t>
            </w:r>
          </w:p>
        </w:tc>
        <w:tc>
          <w:tcPr>
            <w:tcW w:w="1985" w:type="dxa"/>
          </w:tcPr>
          <w:p>
            <w:pPr>
              <w:rPr>
                <w:rFonts w:ascii="Arial" w:hAnsi="Arial" w:cs="Arial"/>
                <w:sz w:val="18"/>
              </w:rPr>
            </w:pPr>
            <w:r>
              <w:rPr>
                <w:rFonts w:ascii="Calibri" w:eastAsia="Times New Roman" w:hAnsi="Calibri" w:cs="Times New Roman"/>
                <w:sz w:val="18"/>
                <w:szCs w:val="20"/>
                <w:lang w:eastAsia="de-DE"/>
              </w:rPr>
              <w:t>Naturschutzgebiet +500m</w:t>
            </w:r>
          </w:p>
        </w:tc>
        <w:tc>
          <w:tcPr>
            <w:tcW w:w="9602" w:type="dxa"/>
          </w:tcPr>
          <w:p>
            <w:pPr>
              <w:rPr>
                <w:rFonts w:ascii="Arial" w:hAnsi="Arial" w:cs="Arial"/>
                <w:sz w:val="18"/>
              </w:rPr>
            </w:pPr>
            <w:r>
              <w:rPr>
                <w:rFonts w:ascii="Calibri" w:eastAsia="Times New Roman" w:hAnsi="Calibri" w:cs="Times New Roman"/>
                <w:b/>
                <w:bCs/>
                <w:sz w:val="18"/>
                <w:szCs w:val="20"/>
                <w:lang w:eastAsia="de-DE"/>
              </w:rPr>
              <w:t>Naturschutzgebiet "</w:t>
            </w:r>
            <w:proofErr w:type="spellStart"/>
            <w:r>
              <w:rPr>
                <w:rFonts w:ascii="Calibri" w:eastAsia="Times New Roman" w:hAnsi="Calibri" w:cs="Times New Roman"/>
                <w:b/>
                <w:bCs/>
                <w:sz w:val="18"/>
                <w:szCs w:val="20"/>
                <w:lang w:eastAsia="de-DE"/>
              </w:rPr>
              <w:t>Peenetal</w:t>
            </w:r>
            <w:proofErr w:type="spellEnd"/>
            <w:r>
              <w:rPr>
                <w:rFonts w:ascii="Calibri" w:eastAsia="Times New Roman" w:hAnsi="Calibri" w:cs="Times New Roman"/>
                <w:b/>
                <w:bCs/>
                <w:sz w:val="18"/>
                <w:szCs w:val="20"/>
                <w:lang w:eastAsia="de-DE"/>
              </w:rPr>
              <w:t xml:space="preserve"> von </w:t>
            </w:r>
            <w:proofErr w:type="spellStart"/>
            <w:r>
              <w:rPr>
                <w:rFonts w:ascii="Calibri" w:eastAsia="Times New Roman" w:hAnsi="Calibri" w:cs="Times New Roman"/>
                <w:b/>
                <w:bCs/>
                <w:sz w:val="18"/>
                <w:szCs w:val="20"/>
                <w:lang w:eastAsia="de-DE"/>
              </w:rPr>
              <w:t>Jarmen</w:t>
            </w:r>
            <w:proofErr w:type="spellEnd"/>
            <w:r>
              <w:rPr>
                <w:rFonts w:ascii="Calibri" w:eastAsia="Times New Roman" w:hAnsi="Calibri" w:cs="Times New Roman"/>
                <w:b/>
                <w:bCs/>
                <w:sz w:val="18"/>
                <w:szCs w:val="20"/>
                <w:lang w:eastAsia="de-DE"/>
              </w:rPr>
              <w:t xml:space="preserve"> bis Anklam" NSG-Nr. 327 (Entfernung zum Vorhabenstandort: ca. 2,5 km)</w:t>
            </w:r>
            <w:r>
              <w:rPr>
                <w:rFonts w:ascii="Calibri" w:eastAsia="Times New Roman" w:hAnsi="Calibri" w:cs="Times New Roman"/>
                <w:sz w:val="18"/>
                <w:szCs w:val="20"/>
                <w:lang w:eastAsia="de-DE"/>
              </w:rPr>
              <w:br/>
            </w:r>
            <w:r>
              <w:rPr>
                <w:rFonts w:ascii="Calibri" w:eastAsia="Times New Roman" w:hAnsi="Calibri" w:cs="Times New Roman"/>
                <w:sz w:val="18"/>
                <w:szCs w:val="20"/>
                <w:lang w:eastAsia="de-DE"/>
              </w:rPr>
              <w:br/>
              <w:t xml:space="preserve">Aufgrund der Entfernung des Gebietes zum Vorhabenstandort von etwa 2,5 km und der Spezifik des Vorhabens, insbesondere des nicht notwendigen Eingriffs in den Wasserhaushalt, lassen sich keine vorhabenbedingten Wirkungen auf das Gebiet ableiten. </w:t>
            </w:r>
            <w:r>
              <w:rPr>
                <w:rFonts w:ascii="Calibri" w:eastAsia="Times New Roman" w:hAnsi="Calibri" w:cs="Times New Roman"/>
                <w:sz w:val="18"/>
                <w:szCs w:val="20"/>
                <w:lang w:eastAsia="de-DE"/>
              </w:rPr>
              <w:br/>
            </w:r>
            <w:r>
              <w:rPr>
                <w:rFonts w:ascii="Calibri" w:eastAsia="Times New Roman" w:hAnsi="Calibri" w:cs="Times New Roman"/>
                <w:sz w:val="18"/>
                <w:szCs w:val="20"/>
                <w:lang w:eastAsia="de-DE"/>
              </w:rPr>
              <w:br/>
            </w:r>
            <w:r>
              <w:rPr>
                <w:rFonts w:ascii="Calibri" w:eastAsia="Times New Roman" w:hAnsi="Calibri" w:cs="Times New Roman"/>
                <w:bCs/>
                <w:sz w:val="18"/>
                <w:szCs w:val="20"/>
                <w:lang w:eastAsia="de-DE"/>
              </w:rPr>
              <w:t>(-)</w:t>
            </w:r>
          </w:p>
        </w:tc>
      </w:tr>
      <w:tr>
        <w:tc>
          <w:tcPr>
            <w:tcW w:w="988" w:type="dxa"/>
            <w:shd w:val="clear" w:color="auto" w:fill="F2F2F2" w:themeFill="background1" w:themeFillShade="F2"/>
          </w:tcPr>
          <w:p>
            <w:pPr>
              <w:jc w:val="center"/>
              <w:rPr>
                <w:rFonts w:ascii="Arial" w:hAnsi="Arial" w:cs="Arial"/>
                <w:sz w:val="24"/>
              </w:rPr>
            </w:pPr>
            <w:r>
              <w:rPr>
                <w:rFonts w:ascii="Calibri" w:eastAsia="Times New Roman" w:hAnsi="Calibri" w:cs="Times New Roman"/>
                <w:b/>
                <w:bCs/>
                <w:sz w:val="20"/>
                <w:szCs w:val="24"/>
                <w:lang w:eastAsia="de-DE"/>
              </w:rPr>
              <w:t>2.3.3</w:t>
            </w:r>
          </w:p>
        </w:tc>
        <w:tc>
          <w:tcPr>
            <w:tcW w:w="2551" w:type="dxa"/>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Nationalparke und Nationale Naturmonumente nach § 24 des Bundesnaturschutzgesetzes, soweit nicht bereits von Nummer 2.3.1 erfasst</w:t>
            </w:r>
          </w:p>
        </w:tc>
        <w:tc>
          <w:tcPr>
            <w:tcW w:w="1985" w:type="dxa"/>
          </w:tcPr>
          <w:p>
            <w:pPr>
              <w:rPr>
                <w:rFonts w:ascii="Calibri" w:eastAsia="Times New Roman" w:hAnsi="Calibri" w:cs="Times New Roman"/>
                <w:bCs/>
                <w:iCs/>
                <w:sz w:val="18"/>
                <w:szCs w:val="20"/>
                <w:lang w:eastAsia="de-DE"/>
              </w:rPr>
            </w:pPr>
            <w:r>
              <w:rPr>
                <w:rFonts w:ascii="Calibri" w:eastAsia="Times New Roman" w:hAnsi="Calibri" w:cs="Times New Roman"/>
                <w:bCs/>
                <w:iCs/>
                <w:sz w:val="18"/>
                <w:szCs w:val="20"/>
                <w:lang w:eastAsia="de-DE"/>
              </w:rPr>
              <w:t>Nationalpark + 1000m</w:t>
            </w:r>
          </w:p>
        </w:tc>
        <w:tc>
          <w:tcPr>
            <w:tcW w:w="9602" w:type="dxa"/>
          </w:tcPr>
          <w:p>
            <w:pPr>
              <w:rPr>
                <w:rFonts w:ascii="Calibri" w:eastAsia="Times New Roman" w:hAnsi="Calibri" w:cs="Times New Roman"/>
                <w:b/>
                <w:bCs/>
                <w:sz w:val="18"/>
                <w:szCs w:val="20"/>
                <w:lang w:eastAsia="de-DE"/>
              </w:rPr>
            </w:pPr>
            <w:r>
              <w:rPr>
                <w:rFonts w:ascii="Calibri" w:eastAsia="Times New Roman" w:hAnsi="Calibri" w:cs="Times New Roman"/>
                <w:b/>
                <w:bCs/>
                <w:sz w:val="18"/>
                <w:szCs w:val="20"/>
                <w:lang w:eastAsia="de-DE"/>
              </w:rPr>
              <w:t>Nationalpark "Müritz-Nationalpark" (Entfernung zum Vorhabenstandort: ca. 50 km)</w:t>
            </w:r>
            <w:r>
              <w:rPr>
                <w:rFonts w:ascii="Calibri" w:eastAsia="Times New Roman" w:hAnsi="Calibri" w:cs="Times New Roman"/>
                <w:sz w:val="18"/>
                <w:szCs w:val="20"/>
                <w:lang w:eastAsia="de-DE"/>
              </w:rPr>
              <w:br/>
            </w:r>
            <w:r>
              <w:rPr>
                <w:rFonts w:ascii="Calibri" w:eastAsia="Times New Roman" w:hAnsi="Calibri" w:cs="Times New Roman"/>
                <w:sz w:val="18"/>
                <w:szCs w:val="20"/>
                <w:lang w:eastAsia="de-DE"/>
              </w:rPr>
              <w:br/>
            </w:r>
            <w:r>
              <w:rPr>
                <w:rFonts w:ascii="Calibri" w:eastAsia="Times New Roman" w:hAnsi="Calibri" w:cs="Times New Roman"/>
                <w:sz w:val="18"/>
                <w:szCs w:val="20"/>
                <w:lang w:eastAsia="de-DE"/>
              </w:rPr>
              <w:br/>
            </w:r>
            <w:r>
              <w:rPr>
                <w:rFonts w:ascii="Calibri" w:eastAsia="Times New Roman" w:hAnsi="Calibri" w:cs="Times New Roman"/>
                <w:bCs/>
                <w:sz w:val="18"/>
                <w:szCs w:val="20"/>
                <w:lang w:eastAsia="de-DE"/>
              </w:rPr>
              <w:t>Die Entfernungen der Nationalparke und Nationalen Monumente begründen keine weitergehende Prüfung.</w:t>
            </w:r>
            <w:r>
              <w:rPr>
                <w:rFonts w:ascii="Calibri" w:eastAsia="Times New Roman" w:hAnsi="Calibri" w:cs="Times New Roman"/>
                <w:b/>
                <w:bCs/>
                <w:sz w:val="18"/>
                <w:szCs w:val="20"/>
                <w:lang w:eastAsia="de-DE"/>
              </w:rPr>
              <w:t xml:space="preserve"> </w:t>
            </w:r>
          </w:p>
        </w:tc>
      </w:tr>
      <w:tr>
        <w:tc>
          <w:tcPr>
            <w:tcW w:w="988" w:type="dxa"/>
            <w:shd w:val="clear" w:color="auto" w:fill="F2F2F2" w:themeFill="background1" w:themeFillShade="F2"/>
          </w:tcPr>
          <w:p>
            <w:pPr>
              <w:jc w:val="center"/>
              <w:rPr>
                <w:rFonts w:ascii="Arial" w:hAnsi="Arial" w:cs="Arial"/>
                <w:sz w:val="24"/>
              </w:rPr>
            </w:pPr>
            <w:r>
              <w:rPr>
                <w:rFonts w:ascii="Calibri" w:eastAsia="Times New Roman" w:hAnsi="Calibri" w:cs="Times New Roman"/>
                <w:b/>
                <w:bCs/>
                <w:sz w:val="20"/>
                <w:szCs w:val="24"/>
                <w:lang w:eastAsia="de-DE"/>
              </w:rPr>
              <w:t>2.3.4</w:t>
            </w:r>
          </w:p>
        </w:tc>
        <w:tc>
          <w:tcPr>
            <w:tcW w:w="2551" w:type="dxa"/>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Biosphärenreservate und Landschaftsschutzgebiete gemäß den §§ 25 und 26 des Bundesnaturschutzgesetzes</w:t>
            </w:r>
          </w:p>
        </w:tc>
        <w:tc>
          <w:tcPr>
            <w:tcW w:w="1985" w:type="dxa"/>
          </w:tcPr>
          <w:p>
            <w:pPr>
              <w:rPr>
                <w:rFonts w:ascii="Calibri" w:eastAsia="Times New Roman" w:hAnsi="Calibri" w:cs="Times New Roman"/>
                <w:bCs/>
                <w:iCs/>
                <w:sz w:val="18"/>
                <w:szCs w:val="20"/>
                <w:lang w:eastAsia="de-DE"/>
              </w:rPr>
            </w:pPr>
            <w:r>
              <w:rPr>
                <w:rFonts w:ascii="Calibri" w:eastAsia="Times New Roman" w:hAnsi="Calibri" w:cs="Times New Roman"/>
                <w:bCs/>
                <w:iCs/>
                <w:sz w:val="18"/>
                <w:szCs w:val="20"/>
                <w:lang w:eastAsia="de-DE"/>
              </w:rPr>
              <w:t>Biosphärenreservat + 500m</w:t>
            </w:r>
          </w:p>
          <w:p>
            <w:pPr>
              <w:rPr>
                <w:rFonts w:ascii="Calibri" w:eastAsia="Times New Roman" w:hAnsi="Calibri" w:cs="Times New Roman"/>
                <w:bCs/>
                <w:iCs/>
                <w:sz w:val="18"/>
                <w:szCs w:val="20"/>
                <w:lang w:eastAsia="de-DE"/>
              </w:rPr>
            </w:pPr>
          </w:p>
          <w:p>
            <w:pPr>
              <w:rPr>
                <w:rFonts w:ascii="Calibri" w:eastAsia="Times New Roman" w:hAnsi="Calibri" w:cs="Times New Roman"/>
                <w:bCs/>
                <w:iCs/>
                <w:sz w:val="18"/>
                <w:szCs w:val="20"/>
                <w:lang w:eastAsia="de-DE"/>
              </w:rPr>
            </w:pPr>
            <w:r>
              <w:rPr>
                <w:rFonts w:ascii="Calibri" w:eastAsia="Times New Roman" w:hAnsi="Calibri" w:cs="Times New Roman"/>
                <w:bCs/>
                <w:iCs/>
                <w:sz w:val="18"/>
                <w:szCs w:val="20"/>
                <w:lang w:eastAsia="de-DE"/>
              </w:rPr>
              <w:t>Landschaftsschutzgebiet</w:t>
            </w:r>
          </w:p>
        </w:tc>
        <w:tc>
          <w:tcPr>
            <w:tcW w:w="9602" w:type="dxa"/>
          </w:tcPr>
          <w:p>
            <w:pPr>
              <w:rPr>
                <w:rFonts w:ascii="Calibri" w:eastAsia="Times New Roman" w:hAnsi="Calibri" w:cs="Times New Roman"/>
                <w:b/>
                <w:bCs/>
                <w:sz w:val="18"/>
                <w:szCs w:val="20"/>
                <w:lang w:eastAsia="de-DE"/>
              </w:rPr>
            </w:pPr>
            <w:r>
              <w:rPr>
                <w:rFonts w:ascii="Calibri" w:eastAsia="Times New Roman" w:hAnsi="Calibri" w:cs="Times New Roman"/>
                <w:b/>
                <w:bCs/>
                <w:sz w:val="18"/>
                <w:szCs w:val="20"/>
                <w:lang w:eastAsia="de-DE"/>
              </w:rPr>
              <w:t>1. Biosphärenreservat "Südost-Rügen" (Entfernung zum Vorhabenstandort: ca. 47 km)</w:t>
            </w:r>
          </w:p>
          <w:p>
            <w:pPr>
              <w:rPr>
                <w:rFonts w:ascii="Calibri" w:eastAsia="Times New Roman" w:hAnsi="Calibri" w:cs="Times New Roman"/>
                <w:b/>
                <w:bCs/>
                <w:sz w:val="18"/>
                <w:szCs w:val="20"/>
                <w:lang w:eastAsia="de-DE"/>
              </w:rPr>
            </w:pPr>
            <w:r>
              <w:rPr>
                <w:rFonts w:ascii="Calibri" w:eastAsia="Times New Roman" w:hAnsi="Calibri" w:cs="Times New Roman"/>
                <w:b/>
                <w:bCs/>
                <w:sz w:val="18"/>
                <w:szCs w:val="20"/>
                <w:lang w:eastAsia="de-DE"/>
              </w:rPr>
              <w:t>(-)</w:t>
            </w:r>
            <w:r>
              <w:rPr>
                <w:rFonts w:ascii="Calibri" w:eastAsia="Times New Roman" w:hAnsi="Calibri" w:cs="Times New Roman"/>
                <w:sz w:val="18"/>
                <w:szCs w:val="20"/>
                <w:lang w:eastAsia="de-DE"/>
              </w:rPr>
              <w:br/>
            </w:r>
            <w:r>
              <w:rPr>
                <w:rFonts w:ascii="Calibri" w:eastAsia="Times New Roman" w:hAnsi="Calibri" w:cs="Times New Roman"/>
                <w:b/>
                <w:bCs/>
                <w:sz w:val="18"/>
                <w:szCs w:val="20"/>
                <w:lang w:eastAsia="de-DE"/>
              </w:rPr>
              <w:t xml:space="preserve">2. Landschaftsschutzgebiet „Unteres </w:t>
            </w:r>
            <w:proofErr w:type="spellStart"/>
            <w:r>
              <w:rPr>
                <w:rFonts w:ascii="Calibri" w:eastAsia="Times New Roman" w:hAnsi="Calibri" w:cs="Times New Roman"/>
                <w:b/>
                <w:bCs/>
                <w:sz w:val="18"/>
                <w:szCs w:val="20"/>
                <w:lang w:eastAsia="de-DE"/>
              </w:rPr>
              <w:t>Peenetal</w:t>
            </w:r>
            <w:proofErr w:type="spellEnd"/>
            <w:r>
              <w:rPr>
                <w:rFonts w:ascii="Calibri" w:eastAsia="Times New Roman" w:hAnsi="Calibri" w:cs="Times New Roman"/>
                <w:b/>
                <w:bCs/>
                <w:sz w:val="18"/>
                <w:szCs w:val="20"/>
                <w:lang w:eastAsia="de-DE"/>
              </w:rPr>
              <w:t xml:space="preserve"> „ LSG-67c  und „Unteres </w:t>
            </w:r>
            <w:proofErr w:type="spellStart"/>
            <w:r>
              <w:rPr>
                <w:rFonts w:ascii="Calibri" w:eastAsia="Times New Roman" w:hAnsi="Calibri" w:cs="Times New Roman"/>
                <w:b/>
                <w:bCs/>
                <w:sz w:val="18"/>
                <w:szCs w:val="20"/>
                <w:lang w:eastAsia="de-DE"/>
              </w:rPr>
              <w:t>Peenetal</w:t>
            </w:r>
            <w:proofErr w:type="spellEnd"/>
            <w:r>
              <w:rPr>
                <w:rFonts w:ascii="Calibri" w:eastAsia="Times New Roman" w:hAnsi="Calibri" w:cs="Times New Roman"/>
                <w:b/>
                <w:bCs/>
                <w:sz w:val="18"/>
                <w:szCs w:val="20"/>
                <w:lang w:eastAsia="de-DE"/>
              </w:rPr>
              <w:t xml:space="preserve"> und </w:t>
            </w:r>
            <w:proofErr w:type="spellStart"/>
            <w:r>
              <w:rPr>
                <w:rFonts w:ascii="Calibri" w:eastAsia="Times New Roman" w:hAnsi="Calibri" w:cs="Times New Roman"/>
                <w:b/>
                <w:bCs/>
                <w:sz w:val="18"/>
                <w:szCs w:val="20"/>
                <w:lang w:eastAsia="de-DE"/>
              </w:rPr>
              <w:t>Peene</w:t>
            </w:r>
            <w:proofErr w:type="spellEnd"/>
            <w:r>
              <w:rPr>
                <w:rFonts w:ascii="Calibri" w:eastAsia="Times New Roman" w:hAnsi="Calibri" w:cs="Times New Roman"/>
                <w:b/>
                <w:bCs/>
                <w:sz w:val="18"/>
                <w:szCs w:val="20"/>
                <w:lang w:eastAsia="de-DE"/>
              </w:rPr>
              <w:t>-Haff" LSG-67a (Entfernung zum Vorhabenstandort: ca. 2,5 km – 2,6 km)</w:t>
            </w:r>
            <w:r>
              <w:rPr>
                <w:rFonts w:ascii="Calibri" w:eastAsia="Times New Roman" w:hAnsi="Calibri" w:cs="Times New Roman"/>
                <w:sz w:val="18"/>
                <w:szCs w:val="20"/>
                <w:lang w:eastAsia="de-DE"/>
              </w:rPr>
              <w:br/>
            </w:r>
            <w:r>
              <w:rPr>
                <w:rFonts w:ascii="Calibri" w:eastAsia="Times New Roman" w:hAnsi="Calibri" w:cs="Times New Roman"/>
                <w:b/>
                <w:sz w:val="18"/>
                <w:szCs w:val="20"/>
                <w:lang w:eastAsia="de-DE"/>
              </w:rPr>
              <w:t>(-)</w:t>
            </w:r>
            <w:r>
              <w:rPr>
                <w:rFonts w:ascii="Calibri" w:eastAsia="Times New Roman" w:hAnsi="Calibri" w:cs="Times New Roman"/>
                <w:sz w:val="18"/>
                <w:szCs w:val="20"/>
                <w:lang w:eastAsia="de-DE"/>
              </w:rPr>
              <w:br/>
            </w:r>
            <w:r>
              <w:rPr>
                <w:rFonts w:ascii="Calibri" w:eastAsia="Times New Roman" w:hAnsi="Calibri" w:cs="Times New Roman"/>
                <w:b/>
                <w:bCs/>
                <w:sz w:val="18"/>
                <w:szCs w:val="20"/>
                <w:lang w:eastAsia="de-DE"/>
              </w:rPr>
              <w:t>3. Landschaftsschutzgebiet "</w:t>
            </w:r>
            <w:proofErr w:type="spellStart"/>
            <w:r>
              <w:rPr>
                <w:rFonts w:ascii="Calibri" w:eastAsia="Times New Roman" w:hAnsi="Calibri" w:cs="Times New Roman"/>
                <w:b/>
                <w:bCs/>
                <w:sz w:val="18"/>
                <w:szCs w:val="20"/>
                <w:lang w:eastAsia="de-DE"/>
              </w:rPr>
              <w:t>Tollensetal</w:t>
            </w:r>
            <w:proofErr w:type="spellEnd"/>
            <w:r>
              <w:rPr>
                <w:rFonts w:ascii="Calibri" w:eastAsia="Times New Roman" w:hAnsi="Calibri" w:cs="Times New Roman"/>
                <w:b/>
                <w:bCs/>
                <w:sz w:val="18"/>
                <w:szCs w:val="20"/>
                <w:lang w:eastAsia="de-DE"/>
              </w:rPr>
              <w:t>" LSG-74a und LSG-74b (Entfernung zum Vorhabenstandort: ca. 9 km in südwestliche Richtung)</w:t>
            </w:r>
            <w:r>
              <w:rPr>
                <w:rFonts w:ascii="Calibri" w:eastAsia="Times New Roman" w:hAnsi="Calibri" w:cs="Times New Roman"/>
                <w:b/>
                <w:bCs/>
                <w:sz w:val="18"/>
                <w:szCs w:val="20"/>
                <w:lang w:eastAsia="de-DE"/>
              </w:rPr>
              <w:br/>
            </w:r>
            <w:r>
              <w:rPr>
                <w:rFonts w:ascii="Calibri" w:eastAsia="Times New Roman" w:hAnsi="Calibri" w:cs="Times New Roman"/>
                <w:b/>
                <w:sz w:val="18"/>
                <w:szCs w:val="20"/>
                <w:u w:val="single"/>
                <w:lang w:eastAsia="de-DE"/>
              </w:rPr>
              <w:t>(-)</w:t>
            </w:r>
          </w:p>
        </w:tc>
      </w:tr>
      <w:tr>
        <w:tc>
          <w:tcPr>
            <w:tcW w:w="988" w:type="dxa"/>
            <w:shd w:val="clear" w:color="auto" w:fill="F2F2F2" w:themeFill="background1" w:themeFillShade="F2"/>
          </w:tcPr>
          <w:p>
            <w:pPr>
              <w:jc w:val="center"/>
              <w:rPr>
                <w:rFonts w:ascii="Arial" w:hAnsi="Arial" w:cs="Arial"/>
                <w:sz w:val="24"/>
              </w:rPr>
            </w:pPr>
            <w:r>
              <w:rPr>
                <w:rFonts w:ascii="Calibri" w:eastAsia="Times New Roman" w:hAnsi="Calibri" w:cs="Times New Roman"/>
                <w:b/>
                <w:bCs/>
                <w:sz w:val="20"/>
                <w:szCs w:val="24"/>
                <w:lang w:eastAsia="de-DE"/>
              </w:rPr>
              <w:t>2.3.5</w:t>
            </w:r>
          </w:p>
        </w:tc>
        <w:tc>
          <w:tcPr>
            <w:tcW w:w="2551" w:type="dxa"/>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Naturdenkmäler nach § 28 des Bundesnaturschutzgesetzes</w:t>
            </w:r>
          </w:p>
        </w:tc>
        <w:tc>
          <w:tcPr>
            <w:tcW w:w="1985" w:type="dxa"/>
          </w:tcPr>
          <w:p>
            <w:pPr>
              <w:rPr>
                <w:rFonts w:ascii="Calibri" w:eastAsia="Times New Roman" w:hAnsi="Calibri" w:cs="Times New Roman"/>
                <w:bCs/>
                <w:iCs/>
                <w:sz w:val="18"/>
                <w:szCs w:val="20"/>
                <w:lang w:eastAsia="de-DE"/>
              </w:rPr>
            </w:pPr>
          </w:p>
        </w:tc>
        <w:tc>
          <w:tcPr>
            <w:tcW w:w="9602" w:type="dxa"/>
          </w:tcPr>
          <w:p>
            <w:pPr>
              <w:rPr>
                <w:rFonts w:ascii="Calibri" w:eastAsia="Times New Roman" w:hAnsi="Calibri" w:cs="Times New Roman"/>
                <w:b/>
                <w:bCs/>
                <w:sz w:val="18"/>
                <w:szCs w:val="20"/>
                <w:lang w:eastAsia="de-DE"/>
              </w:rPr>
            </w:pPr>
            <w:r>
              <w:rPr>
                <w:rFonts w:ascii="Calibri" w:eastAsia="Times New Roman" w:hAnsi="Calibri" w:cs="Times New Roman"/>
                <w:sz w:val="18"/>
                <w:szCs w:val="20"/>
                <w:lang w:eastAsia="de-DE"/>
              </w:rPr>
              <w:t>keine</w:t>
            </w:r>
            <w:r>
              <w:rPr>
                <w:rFonts w:ascii="Calibri" w:eastAsia="Times New Roman" w:hAnsi="Calibri" w:cs="Times New Roman"/>
                <w:sz w:val="18"/>
                <w:szCs w:val="20"/>
                <w:lang w:eastAsia="de-DE"/>
              </w:rPr>
              <w:br/>
            </w:r>
            <w:r>
              <w:rPr>
                <w:rFonts w:ascii="Calibri" w:eastAsia="Times New Roman" w:hAnsi="Calibri" w:cs="Times New Roman"/>
                <w:bCs/>
                <w:sz w:val="18"/>
                <w:szCs w:val="20"/>
                <w:lang w:eastAsia="de-DE"/>
              </w:rPr>
              <w:t>(-)</w:t>
            </w:r>
          </w:p>
        </w:tc>
      </w:tr>
      <w:tr>
        <w:tc>
          <w:tcPr>
            <w:tcW w:w="988" w:type="dxa"/>
            <w:shd w:val="clear" w:color="auto" w:fill="F2F2F2" w:themeFill="background1" w:themeFillShade="F2"/>
          </w:tcPr>
          <w:p>
            <w:pPr>
              <w:jc w:val="center"/>
              <w:rPr>
                <w:rFonts w:ascii="Arial" w:hAnsi="Arial" w:cs="Arial"/>
                <w:sz w:val="24"/>
              </w:rPr>
            </w:pPr>
            <w:r>
              <w:rPr>
                <w:rFonts w:ascii="Calibri" w:eastAsia="Times New Roman" w:hAnsi="Calibri" w:cs="Times New Roman"/>
                <w:b/>
                <w:bCs/>
                <w:sz w:val="20"/>
                <w:szCs w:val="24"/>
                <w:lang w:eastAsia="de-DE"/>
              </w:rPr>
              <w:lastRenderedPageBreak/>
              <w:t>2.3.6</w:t>
            </w:r>
          </w:p>
        </w:tc>
        <w:tc>
          <w:tcPr>
            <w:tcW w:w="2551" w:type="dxa"/>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geschützte Landschaftsbestandteile, einschließlich Alleen, nach § 29 des Bundesnaturschutzgesetzes</w:t>
            </w:r>
          </w:p>
        </w:tc>
        <w:tc>
          <w:tcPr>
            <w:tcW w:w="1985" w:type="dxa"/>
          </w:tcPr>
          <w:p>
            <w:pPr>
              <w:rPr>
                <w:rFonts w:ascii="Calibri" w:eastAsia="Times New Roman" w:hAnsi="Calibri" w:cs="Times New Roman"/>
                <w:bCs/>
                <w:iCs/>
                <w:sz w:val="18"/>
                <w:szCs w:val="20"/>
                <w:lang w:eastAsia="de-DE"/>
              </w:rPr>
            </w:pPr>
          </w:p>
        </w:tc>
        <w:tc>
          <w:tcPr>
            <w:tcW w:w="9602" w:type="dxa"/>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keine</w:t>
            </w:r>
          </w:p>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w:t>
            </w:r>
          </w:p>
        </w:tc>
      </w:tr>
      <w:tr>
        <w:tc>
          <w:tcPr>
            <w:tcW w:w="988" w:type="dxa"/>
            <w:shd w:val="clear" w:color="auto" w:fill="F2F2F2" w:themeFill="background1" w:themeFillShade="F2"/>
          </w:tcPr>
          <w:p>
            <w:pPr>
              <w:jc w:val="center"/>
              <w:rPr>
                <w:rFonts w:ascii="Arial" w:hAnsi="Arial" w:cs="Arial"/>
                <w:sz w:val="24"/>
              </w:rPr>
            </w:pPr>
            <w:r>
              <w:rPr>
                <w:rFonts w:ascii="Calibri" w:eastAsia="Times New Roman" w:hAnsi="Calibri" w:cs="Times New Roman"/>
                <w:b/>
                <w:bCs/>
                <w:sz w:val="20"/>
                <w:szCs w:val="24"/>
                <w:lang w:eastAsia="de-DE"/>
              </w:rPr>
              <w:t>2.3.7</w:t>
            </w:r>
          </w:p>
        </w:tc>
        <w:tc>
          <w:tcPr>
            <w:tcW w:w="2551" w:type="dxa"/>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gesetzlich geschützte Biotope nach § 30 des Bundesnaturschutzgesetzes</w:t>
            </w:r>
          </w:p>
        </w:tc>
        <w:tc>
          <w:tcPr>
            <w:tcW w:w="1985" w:type="dxa"/>
          </w:tcPr>
          <w:p>
            <w:pPr>
              <w:rPr>
                <w:rFonts w:ascii="Calibri" w:eastAsia="Times New Roman" w:hAnsi="Calibri" w:cs="Times New Roman"/>
                <w:bCs/>
                <w:iCs/>
                <w:sz w:val="18"/>
                <w:szCs w:val="20"/>
                <w:lang w:eastAsia="de-DE"/>
              </w:rPr>
            </w:pPr>
            <w:r>
              <w:rPr>
                <w:rFonts w:ascii="Calibri" w:eastAsia="Times New Roman" w:hAnsi="Calibri" w:cs="Times New Roman"/>
                <w:bCs/>
                <w:iCs/>
                <w:sz w:val="18"/>
                <w:szCs w:val="20"/>
                <w:lang w:eastAsia="de-DE"/>
              </w:rPr>
              <w:t>Biotop</w:t>
            </w:r>
          </w:p>
          <w:p>
            <w:pPr>
              <w:rPr>
                <w:rFonts w:ascii="Calibri" w:eastAsia="Times New Roman" w:hAnsi="Calibri" w:cs="Times New Roman"/>
                <w:bCs/>
                <w:iCs/>
                <w:sz w:val="18"/>
                <w:szCs w:val="20"/>
                <w:lang w:eastAsia="de-DE"/>
              </w:rPr>
            </w:pPr>
            <w:r>
              <w:rPr>
                <w:rFonts w:ascii="Calibri" w:eastAsia="Times New Roman" w:hAnsi="Calibri" w:cs="Times New Roman"/>
                <w:bCs/>
                <w:iCs/>
                <w:sz w:val="18"/>
                <w:szCs w:val="20"/>
                <w:lang w:eastAsia="de-DE"/>
              </w:rPr>
              <w:t>bzw. Biotop ab 5ha + 200m</w:t>
            </w:r>
          </w:p>
        </w:tc>
        <w:tc>
          <w:tcPr>
            <w:tcW w:w="9602" w:type="dxa"/>
          </w:tcPr>
          <w:p>
            <w:pPr>
              <w:rPr>
                <w:rFonts w:ascii="Calibri" w:eastAsia="Times New Roman" w:hAnsi="Calibri" w:cs="Times New Roman"/>
                <w:bCs/>
                <w:sz w:val="18"/>
                <w:szCs w:val="20"/>
                <w:lang w:eastAsia="de-DE"/>
              </w:rPr>
            </w:pPr>
            <w:r>
              <w:rPr>
                <w:rFonts w:ascii="Calibri" w:eastAsia="Times New Roman" w:hAnsi="Calibri" w:cs="Times New Roman"/>
                <w:bCs/>
                <w:sz w:val="18"/>
                <w:szCs w:val="20"/>
                <w:lang w:eastAsia="de-DE"/>
              </w:rPr>
              <w:t>Biotop DEM10389, temporäres Kleingewässer westlich der WEA (Entfernung ca. 190m)</w:t>
            </w:r>
          </w:p>
          <w:p>
            <w:pPr>
              <w:rPr>
                <w:rFonts w:ascii="Calibri" w:eastAsia="Times New Roman" w:hAnsi="Calibri" w:cs="Times New Roman"/>
                <w:bCs/>
                <w:sz w:val="18"/>
                <w:szCs w:val="20"/>
                <w:lang w:eastAsia="de-DE"/>
              </w:rPr>
            </w:pPr>
            <w:r>
              <w:rPr>
                <w:rFonts w:ascii="Calibri" w:eastAsia="Times New Roman" w:hAnsi="Calibri" w:cs="Times New Roman"/>
                <w:bCs/>
                <w:sz w:val="18"/>
                <w:szCs w:val="20"/>
                <w:lang w:eastAsia="de-DE"/>
              </w:rPr>
              <w:t>Biotop DEM10383, permanentes Kleingewässer südwestlich der WEA (Entfernung ca. 265m)</w:t>
            </w:r>
          </w:p>
          <w:p>
            <w:pPr>
              <w:rPr>
                <w:rFonts w:ascii="Calibri" w:eastAsia="Times New Roman" w:hAnsi="Calibri" w:cs="Times New Roman"/>
                <w:bCs/>
                <w:sz w:val="18"/>
                <w:szCs w:val="20"/>
                <w:lang w:eastAsia="de-DE"/>
              </w:rPr>
            </w:pPr>
            <w:r>
              <w:rPr>
                <w:rFonts w:ascii="Calibri" w:eastAsia="Times New Roman" w:hAnsi="Calibri" w:cs="Times New Roman"/>
                <w:bCs/>
                <w:sz w:val="18"/>
                <w:szCs w:val="20"/>
                <w:lang w:eastAsia="de-DE"/>
              </w:rPr>
              <w:t>Biotop DEM10386, permanentes Kleingewässer südöstlich der WEA (Entfernung ca. 280m)</w:t>
            </w:r>
          </w:p>
          <w:p>
            <w:pPr>
              <w:rPr>
                <w:rFonts w:ascii="Calibri" w:eastAsia="Times New Roman" w:hAnsi="Calibri" w:cs="Times New Roman"/>
                <w:bCs/>
                <w:sz w:val="18"/>
                <w:szCs w:val="20"/>
                <w:lang w:eastAsia="de-DE"/>
              </w:rPr>
            </w:pPr>
            <w:r>
              <w:rPr>
                <w:rFonts w:ascii="Calibri" w:eastAsia="Times New Roman" w:hAnsi="Calibri" w:cs="Times New Roman"/>
                <w:bCs/>
                <w:sz w:val="18"/>
                <w:szCs w:val="20"/>
                <w:lang w:eastAsia="de-DE"/>
              </w:rPr>
              <w:t>Biotop DEM10389, temporäres Kleingewässer nordöstlich des Erschließungsweges (Entfernung ca. 87m)</w:t>
            </w:r>
          </w:p>
          <w:p>
            <w:pPr>
              <w:rPr>
                <w:rFonts w:ascii="Calibri" w:eastAsia="Times New Roman" w:hAnsi="Calibri" w:cs="Times New Roman"/>
                <w:bCs/>
                <w:sz w:val="18"/>
                <w:szCs w:val="20"/>
                <w:lang w:eastAsia="de-DE"/>
              </w:rPr>
            </w:pPr>
            <w:r>
              <w:rPr>
                <w:rFonts w:ascii="Calibri" w:eastAsia="Times New Roman" w:hAnsi="Calibri" w:cs="Times New Roman"/>
                <w:bCs/>
                <w:sz w:val="18"/>
                <w:szCs w:val="20"/>
                <w:lang w:eastAsia="de-DE"/>
              </w:rPr>
              <w:t xml:space="preserve">Keine direkte oder indirekte Beeinträchtigung durch Bau und Betrieb der WEA zu erwarten.  </w:t>
            </w:r>
          </w:p>
          <w:p>
            <w:pPr>
              <w:rPr>
                <w:rFonts w:ascii="Calibri" w:eastAsia="Times New Roman" w:hAnsi="Calibri" w:cs="Times New Roman"/>
                <w:bCs/>
                <w:sz w:val="18"/>
                <w:szCs w:val="20"/>
                <w:lang w:eastAsia="de-DE"/>
              </w:rPr>
            </w:pPr>
            <w:r>
              <w:rPr>
                <w:rFonts w:ascii="Calibri" w:eastAsia="Times New Roman" w:hAnsi="Calibri" w:cs="Times New Roman"/>
                <w:bCs/>
                <w:sz w:val="18"/>
                <w:szCs w:val="20"/>
                <w:lang w:eastAsia="de-DE"/>
              </w:rPr>
              <w:t>(-)</w:t>
            </w:r>
          </w:p>
        </w:tc>
      </w:tr>
      <w:tr>
        <w:tc>
          <w:tcPr>
            <w:tcW w:w="988" w:type="dxa"/>
            <w:shd w:val="clear" w:color="auto" w:fill="F2F2F2" w:themeFill="background1" w:themeFillShade="F2"/>
          </w:tcPr>
          <w:p>
            <w:pPr>
              <w:jc w:val="center"/>
              <w:rPr>
                <w:rFonts w:ascii="Arial" w:hAnsi="Arial" w:cs="Arial"/>
                <w:sz w:val="24"/>
              </w:rPr>
            </w:pPr>
            <w:r>
              <w:rPr>
                <w:rFonts w:ascii="Calibri" w:eastAsia="Times New Roman" w:hAnsi="Calibri" w:cs="Times New Roman"/>
                <w:b/>
                <w:bCs/>
                <w:sz w:val="20"/>
                <w:szCs w:val="24"/>
                <w:lang w:eastAsia="de-DE"/>
              </w:rPr>
              <w:t>2.3.8</w:t>
            </w:r>
          </w:p>
        </w:tc>
        <w:tc>
          <w:tcPr>
            <w:tcW w:w="2551" w:type="dxa"/>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Wasserschutzgebiete nach § 51 des Wasserhaushaltsgesetzes, Heilquellenschutzgebiete nach § 53 Absatz 4 des Wasserhaushaltsgesetzes, Risikogebiete nach § 73 Absatz 1 des Wasserhaushaltsgesetzes sowie Überschwemmungsgebiete nach § 76 des Wasserhaushaltsgesetzes</w:t>
            </w:r>
          </w:p>
        </w:tc>
        <w:tc>
          <w:tcPr>
            <w:tcW w:w="1985" w:type="dxa"/>
          </w:tcPr>
          <w:p>
            <w:pPr>
              <w:rPr>
                <w:rFonts w:ascii="Calibri" w:eastAsia="Times New Roman" w:hAnsi="Calibri" w:cs="Times New Roman"/>
                <w:bCs/>
                <w:iCs/>
                <w:sz w:val="18"/>
                <w:szCs w:val="20"/>
                <w:lang w:eastAsia="de-DE"/>
              </w:rPr>
            </w:pPr>
            <w:r>
              <w:rPr>
                <w:rFonts w:ascii="Calibri" w:eastAsia="Times New Roman" w:hAnsi="Calibri" w:cs="Times New Roman"/>
                <w:bCs/>
                <w:iCs/>
                <w:sz w:val="18"/>
                <w:szCs w:val="20"/>
                <w:lang w:eastAsia="de-DE"/>
              </w:rPr>
              <w:t>Wasserschutzgebiet + 200m</w:t>
            </w:r>
          </w:p>
        </w:tc>
        <w:tc>
          <w:tcPr>
            <w:tcW w:w="9602" w:type="dxa"/>
          </w:tcPr>
          <w:p>
            <w:pPr>
              <w:rPr>
                <w:rFonts w:ascii="Calibri" w:eastAsia="Times New Roman" w:hAnsi="Calibri" w:cs="Times New Roman"/>
                <w:bCs/>
                <w:sz w:val="18"/>
                <w:szCs w:val="20"/>
                <w:lang w:eastAsia="de-DE"/>
              </w:rPr>
            </w:pPr>
            <w:r>
              <w:rPr>
                <w:rFonts w:ascii="Calibri" w:eastAsia="Times New Roman" w:hAnsi="Calibri" w:cs="Times New Roman"/>
                <w:bCs/>
                <w:sz w:val="18"/>
                <w:szCs w:val="20"/>
                <w:lang w:eastAsia="de-DE"/>
              </w:rPr>
              <w:t>Wasserschutzgebiet "</w:t>
            </w:r>
            <w:proofErr w:type="spellStart"/>
            <w:r>
              <w:rPr>
                <w:rFonts w:ascii="Calibri" w:eastAsia="Times New Roman" w:hAnsi="Calibri" w:cs="Times New Roman"/>
                <w:bCs/>
                <w:sz w:val="18"/>
                <w:szCs w:val="20"/>
                <w:lang w:eastAsia="de-DE"/>
              </w:rPr>
              <w:t>Bentzin</w:t>
            </w:r>
            <w:proofErr w:type="spellEnd"/>
            <w:r>
              <w:rPr>
                <w:rFonts w:ascii="Calibri" w:eastAsia="Times New Roman" w:hAnsi="Calibri" w:cs="Times New Roman"/>
                <w:bCs/>
                <w:sz w:val="18"/>
                <w:szCs w:val="20"/>
                <w:lang w:eastAsia="de-DE"/>
              </w:rPr>
              <w:t>" nordwestlich der WEA (Entfernung zum Vorhabenstandort: ca. 2.500 m)</w:t>
            </w:r>
            <w:r>
              <w:rPr>
                <w:rFonts w:ascii="Calibri" w:eastAsia="Times New Roman" w:hAnsi="Calibri" w:cs="Times New Roman"/>
                <w:sz w:val="18"/>
                <w:szCs w:val="20"/>
                <w:lang w:eastAsia="de-DE"/>
              </w:rPr>
              <w:br/>
              <w:t>(-)</w:t>
            </w:r>
          </w:p>
        </w:tc>
      </w:tr>
      <w:tr>
        <w:tc>
          <w:tcPr>
            <w:tcW w:w="988" w:type="dxa"/>
            <w:shd w:val="clear" w:color="auto" w:fill="F2F2F2" w:themeFill="background1" w:themeFillShade="F2"/>
          </w:tcPr>
          <w:p>
            <w:pPr>
              <w:jc w:val="center"/>
              <w:rPr>
                <w:rFonts w:ascii="Arial" w:hAnsi="Arial" w:cs="Arial"/>
                <w:sz w:val="24"/>
              </w:rPr>
            </w:pPr>
            <w:r>
              <w:rPr>
                <w:rFonts w:ascii="Calibri" w:eastAsia="Times New Roman" w:hAnsi="Calibri" w:cs="Times New Roman"/>
                <w:b/>
                <w:bCs/>
                <w:sz w:val="20"/>
                <w:szCs w:val="24"/>
                <w:lang w:eastAsia="de-DE"/>
              </w:rPr>
              <w:t>2.3.9</w:t>
            </w:r>
          </w:p>
        </w:tc>
        <w:tc>
          <w:tcPr>
            <w:tcW w:w="2551" w:type="dxa"/>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Gebiete, in denen die in Vorschriften der Europäischen Union festgelegten Umweltqualitätsnormen bereits überschritten sind</w:t>
            </w:r>
          </w:p>
        </w:tc>
        <w:tc>
          <w:tcPr>
            <w:tcW w:w="1985" w:type="dxa"/>
          </w:tcPr>
          <w:p>
            <w:pPr>
              <w:rPr>
                <w:rFonts w:ascii="Calibri" w:eastAsia="Times New Roman" w:hAnsi="Calibri" w:cs="Times New Roman"/>
                <w:b/>
                <w:bCs/>
                <w:i/>
                <w:iCs/>
                <w:sz w:val="18"/>
                <w:szCs w:val="20"/>
                <w:lang w:eastAsia="de-DE"/>
              </w:rPr>
            </w:pPr>
          </w:p>
        </w:tc>
        <w:tc>
          <w:tcPr>
            <w:tcW w:w="9602" w:type="dxa"/>
          </w:tcPr>
          <w:p>
            <w:pPr>
              <w:rPr>
                <w:rFonts w:ascii="Calibri" w:eastAsia="Times New Roman" w:hAnsi="Calibri" w:cs="Times New Roman"/>
                <w:b/>
                <w:bCs/>
                <w:sz w:val="18"/>
                <w:szCs w:val="20"/>
                <w:lang w:eastAsia="de-DE"/>
              </w:rPr>
            </w:pPr>
            <w:r>
              <w:rPr>
                <w:rFonts w:ascii="Calibri" w:eastAsia="Times New Roman" w:hAnsi="Calibri" w:cs="Times New Roman"/>
                <w:sz w:val="18"/>
                <w:szCs w:val="20"/>
                <w:lang w:eastAsia="de-DE"/>
              </w:rPr>
              <w:t>Umweltqualitätsnormen sind in Gemeinschaftsvorschriften (EU) festgelegte quantifizierte und überprüfbare Anforderungen an</w:t>
            </w:r>
            <w:r>
              <w:rPr>
                <w:rFonts w:ascii="Calibri" w:eastAsia="Times New Roman" w:hAnsi="Calibri" w:cs="Times New Roman"/>
                <w:sz w:val="18"/>
                <w:szCs w:val="20"/>
                <w:lang w:eastAsia="de-DE"/>
              </w:rPr>
              <w:br/>
              <w:t xml:space="preserve">die Beschaffenheit der Umwelt, die aus Gründen des Gesundheits- oder Umweltschutzes nicht überschritten werden sollen bzw. dürfen (z.B. Grenzwerte oder  Zielwerte aus den Bereichen der Luftreinhaltung, des Gewässerschutzes oder des Bodenschutzes, vgl. UBA: </w:t>
            </w:r>
            <w:r>
              <w:rPr>
                <w:rFonts w:ascii="Calibri" w:eastAsia="Times New Roman" w:hAnsi="Calibri" w:cs="Times New Roman"/>
                <w:i/>
                <w:iCs/>
                <w:sz w:val="18"/>
                <w:szCs w:val="20"/>
                <w:lang w:eastAsia="de-DE"/>
              </w:rPr>
              <w:t>Kriterien, Grundsätze und Verfahren der Einzelfallprüfung bei der</w:t>
            </w:r>
            <w:r>
              <w:rPr>
                <w:rFonts w:ascii="Calibri" w:eastAsia="Times New Roman" w:hAnsi="Calibri" w:cs="Times New Roman"/>
                <w:i/>
                <w:iCs/>
                <w:sz w:val="18"/>
                <w:szCs w:val="20"/>
                <w:lang w:eastAsia="de-DE"/>
              </w:rPr>
              <w:br/>
              <w:t xml:space="preserve">Umweltverträglichkeitsprüfung </w:t>
            </w:r>
            <w:r>
              <w:rPr>
                <w:rFonts w:ascii="Calibri" w:eastAsia="Times New Roman" w:hAnsi="Calibri" w:cs="Times New Roman"/>
                <w:sz w:val="18"/>
                <w:szCs w:val="20"/>
                <w:lang w:eastAsia="de-DE"/>
              </w:rPr>
              <w:t>2006). Bei dem Vorhabenstandort handelt es sich um kein Gebiet, in dem die in Vorschriften der Europäischen Union festgelegten Umweltqualitätsnormen bereits überschritten sind.</w:t>
            </w:r>
            <w:r>
              <w:rPr>
                <w:rFonts w:ascii="Calibri" w:eastAsia="Times New Roman" w:hAnsi="Calibri" w:cs="Times New Roman"/>
                <w:sz w:val="18"/>
                <w:szCs w:val="20"/>
                <w:lang w:eastAsia="de-DE"/>
              </w:rPr>
              <w:br/>
              <w:t>(-)</w:t>
            </w:r>
          </w:p>
        </w:tc>
      </w:tr>
      <w:tr>
        <w:tc>
          <w:tcPr>
            <w:tcW w:w="988" w:type="dxa"/>
            <w:shd w:val="clear" w:color="auto" w:fill="F2F2F2" w:themeFill="background1" w:themeFillShade="F2"/>
          </w:tcPr>
          <w:p>
            <w:pPr>
              <w:jc w:val="center"/>
              <w:rPr>
                <w:rFonts w:ascii="Arial" w:hAnsi="Arial" w:cs="Arial"/>
                <w:sz w:val="24"/>
              </w:rPr>
            </w:pPr>
            <w:r>
              <w:rPr>
                <w:rFonts w:ascii="Calibri" w:eastAsia="Times New Roman" w:hAnsi="Calibri" w:cs="Times New Roman"/>
                <w:b/>
                <w:bCs/>
                <w:sz w:val="20"/>
                <w:szCs w:val="24"/>
                <w:lang w:eastAsia="de-DE"/>
              </w:rPr>
              <w:t>2.3.10</w:t>
            </w:r>
          </w:p>
        </w:tc>
        <w:tc>
          <w:tcPr>
            <w:tcW w:w="2551" w:type="dxa"/>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Gebiete mit hoher Bevölkerungsdichte, insbesondere Zentrale Orte im Sinne des § 2 Absatz 2 Nummer 2 des Raumordnungsgesetzes</w:t>
            </w:r>
          </w:p>
        </w:tc>
        <w:tc>
          <w:tcPr>
            <w:tcW w:w="1985" w:type="dxa"/>
          </w:tcPr>
          <w:p>
            <w:pPr>
              <w:rPr>
                <w:rFonts w:ascii="Calibri" w:eastAsia="Times New Roman" w:hAnsi="Calibri" w:cs="Times New Roman"/>
                <w:b/>
                <w:bCs/>
                <w:i/>
                <w:iCs/>
                <w:sz w:val="18"/>
                <w:szCs w:val="20"/>
                <w:lang w:eastAsia="de-DE"/>
              </w:rPr>
            </w:pPr>
          </w:p>
        </w:tc>
        <w:tc>
          <w:tcPr>
            <w:tcW w:w="9602" w:type="dxa"/>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Die Regionalplanung als überörtliche räumliche Gesamtplanung legt zentrale Orte nach dem "System der zentralen Orte" fest (vgl. RREP MS 2011). Gebiete mit hoher Bevölkerungsdichte im Sinne des "Zentralen-Orte-Systems" befinden sich erst wieder in einer Entfernung von etwa 5 km zum Vorhabenstandort. </w:t>
            </w:r>
            <w:r>
              <w:rPr>
                <w:rFonts w:ascii="Calibri" w:eastAsia="Times New Roman" w:hAnsi="Calibri" w:cs="Times New Roman"/>
                <w:sz w:val="18"/>
                <w:szCs w:val="20"/>
                <w:lang w:eastAsia="de-DE"/>
              </w:rPr>
              <w:br w:type="page"/>
            </w:r>
            <w:r>
              <w:rPr>
                <w:rFonts w:ascii="Calibri" w:eastAsia="Times New Roman" w:hAnsi="Calibri" w:cs="Times New Roman"/>
                <w:sz w:val="18"/>
                <w:szCs w:val="20"/>
                <w:lang w:eastAsia="de-DE"/>
              </w:rPr>
              <w:br w:type="page"/>
              <w:t xml:space="preserve"> </w:t>
            </w:r>
          </w:p>
          <w:p>
            <w:pPr>
              <w:rPr>
                <w:rFonts w:ascii="Calibri" w:eastAsia="Times New Roman" w:hAnsi="Calibri" w:cs="Times New Roman"/>
                <w:b/>
                <w:bCs/>
                <w:sz w:val="18"/>
                <w:szCs w:val="20"/>
                <w:lang w:eastAsia="de-DE"/>
              </w:rPr>
            </w:pPr>
            <w:r>
              <w:rPr>
                <w:rFonts w:ascii="Calibri" w:eastAsia="Times New Roman" w:hAnsi="Calibri" w:cs="Times New Roman"/>
                <w:sz w:val="18"/>
                <w:szCs w:val="20"/>
                <w:lang w:eastAsia="de-DE"/>
              </w:rPr>
              <w:t>(-)</w:t>
            </w:r>
          </w:p>
        </w:tc>
      </w:tr>
      <w:tr>
        <w:tc>
          <w:tcPr>
            <w:tcW w:w="988" w:type="dxa"/>
            <w:shd w:val="clear" w:color="auto" w:fill="F2F2F2" w:themeFill="background1" w:themeFillShade="F2"/>
          </w:tcPr>
          <w:p>
            <w:pPr>
              <w:jc w:val="center"/>
              <w:rPr>
                <w:rFonts w:ascii="Arial" w:hAnsi="Arial" w:cs="Arial"/>
                <w:sz w:val="24"/>
              </w:rPr>
            </w:pPr>
            <w:r>
              <w:rPr>
                <w:rFonts w:ascii="Calibri" w:eastAsia="Times New Roman" w:hAnsi="Calibri" w:cs="Times New Roman"/>
                <w:b/>
                <w:bCs/>
                <w:sz w:val="20"/>
                <w:szCs w:val="24"/>
                <w:lang w:eastAsia="de-DE"/>
              </w:rPr>
              <w:t>2.3.11</w:t>
            </w:r>
          </w:p>
        </w:tc>
        <w:tc>
          <w:tcPr>
            <w:tcW w:w="2551" w:type="dxa"/>
          </w:tcPr>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in amtlichen Listen oder Karten verzeichnete Denkmäler, Denkmalensembles, Bodendenkmäler oder Gebiete, die von der durch die Länder bestimmten </w:t>
            </w:r>
            <w:r>
              <w:rPr>
                <w:rFonts w:ascii="Calibri" w:eastAsia="Times New Roman" w:hAnsi="Calibri" w:cs="Times New Roman"/>
                <w:sz w:val="18"/>
                <w:szCs w:val="20"/>
                <w:lang w:eastAsia="de-DE"/>
              </w:rPr>
              <w:lastRenderedPageBreak/>
              <w:t>Denkmalschutzbehörde als archäologisch bedeutende Landschaften eingestuft worden sind</w:t>
            </w:r>
          </w:p>
        </w:tc>
        <w:tc>
          <w:tcPr>
            <w:tcW w:w="1985" w:type="dxa"/>
          </w:tcPr>
          <w:p>
            <w:pPr>
              <w:rPr>
                <w:rFonts w:ascii="Calibri" w:eastAsia="Times New Roman" w:hAnsi="Calibri" w:cs="Times New Roman"/>
                <w:bCs/>
                <w:iCs/>
                <w:sz w:val="18"/>
                <w:szCs w:val="20"/>
                <w:lang w:eastAsia="de-DE"/>
              </w:rPr>
            </w:pPr>
            <w:r>
              <w:rPr>
                <w:rFonts w:ascii="Calibri" w:eastAsia="Times New Roman" w:hAnsi="Calibri" w:cs="Times New Roman"/>
                <w:bCs/>
                <w:iCs/>
                <w:sz w:val="18"/>
                <w:szCs w:val="20"/>
                <w:lang w:eastAsia="de-DE"/>
              </w:rPr>
              <w:lastRenderedPageBreak/>
              <w:t>Einzelabwägung</w:t>
            </w:r>
          </w:p>
        </w:tc>
        <w:tc>
          <w:tcPr>
            <w:tcW w:w="9602" w:type="dxa"/>
          </w:tcPr>
          <w:p>
            <w:pPr>
              <w:pStyle w:val="Listenabsatz"/>
              <w:numPr>
                <w:ilvl w:val="0"/>
                <w:numId w:val="9"/>
              </w:num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Stadtkirche </w:t>
            </w:r>
            <w:proofErr w:type="spellStart"/>
            <w:r>
              <w:rPr>
                <w:rFonts w:ascii="Calibri" w:eastAsia="Times New Roman" w:hAnsi="Calibri" w:cs="Times New Roman"/>
                <w:sz w:val="18"/>
                <w:szCs w:val="20"/>
                <w:lang w:eastAsia="de-DE"/>
              </w:rPr>
              <w:t>Gützkow</w:t>
            </w:r>
            <w:proofErr w:type="spellEnd"/>
            <w:r>
              <w:rPr>
                <w:rFonts w:ascii="Calibri" w:eastAsia="Times New Roman" w:hAnsi="Calibri" w:cs="Times New Roman"/>
                <w:sz w:val="18"/>
                <w:szCs w:val="20"/>
                <w:lang w:eastAsia="de-DE"/>
              </w:rPr>
              <w:t>;</w:t>
            </w:r>
          </w:p>
          <w:p>
            <w:pPr>
              <w:pStyle w:val="Listenabsatz"/>
              <w:numPr>
                <w:ilvl w:val="0"/>
                <w:numId w:val="9"/>
              </w:num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Backsteinkirche </w:t>
            </w:r>
            <w:proofErr w:type="spellStart"/>
            <w:r>
              <w:rPr>
                <w:rFonts w:ascii="Calibri" w:eastAsia="Times New Roman" w:hAnsi="Calibri" w:cs="Times New Roman"/>
                <w:sz w:val="18"/>
                <w:szCs w:val="20"/>
                <w:lang w:eastAsia="de-DE"/>
              </w:rPr>
              <w:t>Kagenow</w:t>
            </w:r>
            <w:proofErr w:type="spellEnd"/>
            <w:r>
              <w:rPr>
                <w:rFonts w:ascii="Calibri" w:eastAsia="Times New Roman" w:hAnsi="Calibri" w:cs="Times New Roman"/>
                <w:sz w:val="18"/>
                <w:szCs w:val="20"/>
                <w:lang w:eastAsia="de-DE"/>
              </w:rPr>
              <w:t>,</w:t>
            </w:r>
          </w:p>
          <w:p>
            <w:pPr>
              <w:pStyle w:val="Listenabsatz"/>
              <w:numPr>
                <w:ilvl w:val="0"/>
                <w:numId w:val="9"/>
              </w:num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Gutsanlage mit Gutshaus, Wirtschaftsgebäuden und Park in </w:t>
            </w:r>
            <w:proofErr w:type="spellStart"/>
            <w:r>
              <w:rPr>
                <w:rFonts w:ascii="Calibri" w:eastAsia="Times New Roman" w:hAnsi="Calibri" w:cs="Times New Roman"/>
                <w:sz w:val="18"/>
                <w:szCs w:val="20"/>
                <w:lang w:eastAsia="de-DE"/>
              </w:rPr>
              <w:t>Neetzow</w:t>
            </w:r>
            <w:proofErr w:type="spellEnd"/>
          </w:p>
          <w:p>
            <w:pPr>
              <w:pStyle w:val="Listenabsatz"/>
              <w:numPr>
                <w:ilvl w:val="0"/>
                <w:numId w:val="9"/>
              </w:num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Backsteinkirche </w:t>
            </w:r>
            <w:proofErr w:type="spellStart"/>
            <w:r>
              <w:rPr>
                <w:rFonts w:ascii="Calibri" w:eastAsia="Times New Roman" w:hAnsi="Calibri" w:cs="Times New Roman"/>
                <w:sz w:val="18"/>
                <w:szCs w:val="20"/>
                <w:lang w:eastAsia="de-DE"/>
              </w:rPr>
              <w:t>Gramzow</w:t>
            </w:r>
            <w:proofErr w:type="spellEnd"/>
            <w:r>
              <w:rPr>
                <w:rFonts w:ascii="Calibri" w:eastAsia="Times New Roman" w:hAnsi="Calibri" w:cs="Times New Roman"/>
                <w:sz w:val="18"/>
                <w:szCs w:val="20"/>
                <w:lang w:eastAsia="de-DE"/>
              </w:rPr>
              <w:t>,</w:t>
            </w:r>
          </w:p>
          <w:p>
            <w:pPr>
              <w:pStyle w:val="Listenabsatz"/>
              <w:numPr>
                <w:ilvl w:val="0"/>
                <w:numId w:val="9"/>
              </w:num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Backsteinkirche </w:t>
            </w:r>
            <w:proofErr w:type="spellStart"/>
            <w:r>
              <w:rPr>
                <w:rFonts w:ascii="Calibri" w:eastAsia="Times New Roman" w:hAnsi="Calibri" w:cs="Times New Roman"/>
                <w:sz w:val="18"/>
                <w:szCs w:val="20"/>
                <w:lang w:eastAsia="de-DE"/>
              </w:rPr>
              <w:t>Liepen</w:t>
            </w:r>
            <w:proofErr w:type="spellEnd"/>
            <w:r>
              <w:rPr>
                <w:rFonts w:ascii="Calibri" w:eastAsia="Times New Roman" w:hAnsi="Calibri" w:cs="Times New Roman"/>
                <w:sz w:val="18"/>
                <w:szCs w:val="20"/>
                <w:lang w:eastAsia="de-DE"/>
              </w:rPr>
              <w:t>,</w:t>
            </w:r>
          </w:p>
          <w:p>
            <w:pPr>
              <w:pStyle w:val="Listenabsatz"/>
              <w:numPr>
                <w:ilvl w:val="0"/>
                <w:numId w:val="9"/>
              </w:num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Backsteinkirche </w:t>
            </w:r>
            <w:proofErr w:type="spellStart"/>
            <w:r>
              <w:rPr>
                <w:rFonts w:ascii="Calibri" w:eastAsia="Times New Roman" w:hAnsi="Calibri" w:cs="Times New Roman"/>
                <w:sz w:val="18"/>
                <w:szCs w:val="20"/>
                <w:lang w:eastAsia="de-DE"/>
              </w:rPr>
              <w:t>Krien</w:t>
            </w:r>
            <w:proofErr w:type="spellEnd"/>
            <w:r>
              <w:rPr>
                <w:rFonts w:ascii="Calibri" w:eastAsia="Times New Roman" w:hAnsi="Calibri" w:cs="Times New Roman"/>
                <w:sz w:val="18"/>
                <w:szCs w:val="20"/>
                <w:lang w:eastAsia="de-DE"/>
              </w:rPr>
              <w:t>,</w:t>
            </w:r>
          </w:p>
          <w:p>
            <w:pPr>
              <w:pStyle w:val="Listenabsatz"/>
              <w:numPr>
                <w:ilvl w:val="0"/>
                <w:numId w:val="9"/>
              </w:num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lastRenderedPageBreak/>
              <w:t xml:space="preserve">Backsteinkirche </w:t>
            </w:r>
            <w:proofErr w:type="spellStart"/>
            <w:r>
              <w:rPr>
                <w:rFonts w:ascii="Calibri" w:eastAsia="Times New Roman" w:hAnsi="Calibri" w:cs="Times New Roman"/>
                <w:sz w:val="18"/>
                <w:szCs w:val="20"/>
                <w:lang w:eastAsia="de-DE"/>
              </w:rPr>
              <w:t>Kartlow</w:t>
            </w:r>
            <w:proofErr w:type="spellEnd"/>
            <w:r>
              <w:rPr>
                <w:rFonts w:ascii="Calibri" w:eastAsia="Times New Roman" w:hAnsi="Calibri" w:cs="Times New Roman"/>
                <w:sz w:val="18"/>
                <w:szCs w:val="20"/>
                <w:lang w:eastAsia="de-DE"/>
              </w:rPr>
              <w:t>,</w:t>
            </w:r>
          </w:p>
          <w:p>
            <w:pPr>
              <w:pStyle w:val="Listenabsatz"/>
              <w:numPr>
                <w:ilvl w:val="0"/>
                <w:numId w:val="9"/>
              </w:num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Gutsanlage mit Gutshaus, Wirtschaftsgebäuden und Park in </w:t>
            </w:r>
            <w:proofErr w:type="spellStart"/>
            <w:r>
              <w:rPr>
                <w:rFonts w:ascii="Calibri" w:eastAsia="Times New Roman" w:hAnsi="Calibri" w:cs="Times New Roman"/>
                <w:sz w:val="18"/>
                <w:szCs w:val="20"/>
                <w:lang w:eastAsia="de-DE"/>
              </w:rPr>
              <w:t>Kartlow</w:t>
            </w:r>
            <w:proofErr w:type="spellEnd"/>
            <w:r>
              <w:rPr>
                <w:rFonts w:ascii="Calibri" w:eastAsia="Times New Roman" w:hAnsi="Calibri" w:cs="Times New Roman"/>
                <w:sz w:val="18"/>
                <w:szCs w:val="20"/>
                <w:lang w:eastAsia="de-DE"/>
              </w:rPr>
              <w:t>,</w:t>
            </w:r>
          </w:p>
          <w:p>
            <w:pPr>
              <w:pStyle w:val="Listenabsatz"/>
              <w:numPr>
                <w:ilvl w:val="0"/>
                <w:numId w:val="9"/>
              </w:num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Landschaftspark </w:t>
            </w:r>
            <w:proofErr w:type="spellStart"/>
            <w:r>
              <w:rPr>
                <w:rFonts w:ascii="Calibri" w:eastAsia="Times New Roman" w:hAnsi="Calibri" w:cs="Times New Roman"/>
                <w:sz w:val="18"/>
                <w:szCs w:val="20"/>
                <w:lang w:eastAsia="de-DE"/>
              </w:rPr>
              <w:t>Wietzow</w:t>
            </w:r>
            <w:proofErr w:type="spellEnd"/>
            <w:r>
              <w:rPr>
                <w:rFonts w:ascii="Calibri" w:eastAsia="Times New Roman" w:hAnsi="Calibri" w:cs="Times New Roman"/>
                <w:sz w:val="18"/>
                <w:szCs w:val="20"/>
                <w:lang w:eastAsia="de-DE"/>
              </w:rPr>
              <w:t>,</w:t>
            </w:r>
          </w:p>
          <w:p>
            <w:pPr>
              <w:pStyle w:val="Listenabsatz"/>
              <w:numPr>
                <w:ilvl w:val="0"/>
                <w:numId w:val="9"/>
              </w:num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Gutsanlage mit Gutshaus, Wirtschaftsgebäuden und Landschaftspark in </w:t>
            </w:r>
            <w:proofErr w:type="spellStart"/>
            <w:r>
              <w:rPr>
                <w:rFonts w:ascii="Calibri" w:eastAsia="Times New Roman" w:hAnsi="Calibri" w:cs="Times New Roman"/>
                <w:sz w:val="18"/>
                <w:szCs w:val="20"/>
                <w:lang w:eastAsia="de-DE"/>
              </w:rPr>
              <w:t>Broock</w:t>
            </w:r>
            <w:proofErr w:type="spellEnd"/>
            <w:r>
              <w:rPr>
                <w:rFonts w:ascii="Calibri" w:eastAsia="Times New Roman" w:hAnsi="Calibri" w:cs="Times New Roman"/>
                <w:sz w:val="18"/>
                <w:szCs w:val="20"/>
                <w:lang w:eastAsia="de-DE"/>
              </w:rPr>
              <w:t>,</w:t>
            </w:r>
          </w:p>
          <w:p>
            <w:pPr>
              <w:pStyle w:val="Listenabsatz"/>
              <w:numPr>
                <w:ilvl w:val="0"/>
                <w:numId w:val="9"/>
              </w:num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Gutshaus in </w:t>
            </w:r>
            <w:proofErr w:type="spellStart"/>
            <w:r>
              <w:rPr>
                <w:rFonts w:ascii="Calibri" w:eastAsia="Times New Roman" w:hAnsi="Calibri" w:cs="Times New Roman"/>
                <w:sz w:val="18"/>
                <w:szCs w:val="20"/>
                <w:lang w:eastAsia="de-DE"/>
              </w:rPr>
              <w:t>Schmarsow</w:t>
            </w:r>
            <w:proofErr w:type="spellEnd"/>
            <w:r>
              <w:rPr>
                <w:rFonts w:ascii="Calibri" w:eastAsia="Times New Roman" w:hAnsi="Calibri" w:cs="Times New Roman"/>
                <w:sz w:val="18"/>
                <w:szCs w:val="20"/>
                <w:lang w:eastAsia="de-DE"/>
              </w:rPr>
              <w:t>,</w:t>
            </w:r>
          </w:p>
          <w:p>
            <w:pPr>
              <w:pStyle w:val="Listenabsatz"/>
              <w:numPr>
                <w:ilvl w:val="0"/>
                <w:numId w:val="9"/>
              </w:num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Kirche Völschow,</w:t>
            </w:r>
          </w:p>
          <w:p>
            <w:pPr>
              <w:pStyle w:val="Listenabsatz"/>
              <w:numPr>
                <w:ilvl w:val="0"/>
                <w:numId w:val="9"/>
              </w:num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Herrenhaus Plötz,</w:t>
            </w:r>
          </w:p>
          <w:p>
            <w:pPr>
              <w:pStyle w:val="Listenabsatz"/>
              <w:numPr>
                <w:ilvl w:val="0"/>
                <w:numId w:val="9"/>
              </w:num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Gutshaus Groß </w:t>
            </w:r>
            <w:proofErr w:type="spellStart"/>
            <w:r>
              <w:rPr>
                <w:rFonts w:ascii="Calibri" w:eastAsia="Times New Roman" w:hAnsi="Calibri" w:cs="Times New Roman"/>
                <w:sz w:val="18"/>
                <w:szCs w:val="20"/>
                <w:lang w:eastAsia="de-DE"/>
              </w:rPr>
              <w:t>Toitin</w:t>
            </w:r>
            <w:proofErr w:type="spellEnd"/>
            <w:r>
              <w:rPr>
                <w:rFonts w:ascii="Calibri" w:eastAsia="Times New Roman" w:hAnsi="Calibri" w:cs="Times New Roman"/>
                <w:sz w:val="18"/>
                <w:szCs w:val="20"/>
                <w:lang w:eastAsia="de-DE"/>
              </w:rPr>
              <w:t>,</w:t>
            </w:r>
          </w:p>
          <w:p>
            <w:pPr>
              <w:pStyle w:val="Listenabsatz"/>
              <w:numPr>
                <w:ilvl w:val="0"/>
                <w:numId w:val="9"/>
              </w:num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Parkanlage Groß </w:t>
            </w:r>
            <w:proofErr w:type="spellStart"/>
            <w:r>
              <w:rPr>
                <w:rFonts w:ascii="Calibri" w:eastAsia="Times New Roman" w:hAnsi="Calibri" w:cs="Times New Roman"/>
                <w:sz w:val="18"/>
                <w:szCs w:val="20"/>
                <w:lang w:eastAsia="de-DE"/>
              </w:rPr>
              <w:t>Toitin</w:t>
            </w:r>
            <w:proofErr w:type="spellEnd"/>
            <w:r>
              <w:rPr>
                <w:rFonts w:ascii="Calibri" w:eastAsia="Times New Roman" w:hAnsi="Calibri" w:cs="Times New Roman"/>
                <w:sz w:val="18"/>
                <w:szCs w:val="20"/>
                <w:lang w:eastAsia="de-DE"/>
              </w:rPr>
              <w:t>,</w:t>
            </w:r>
          </w:p>
          <w:p>
            <w:pPr>
              <w:pStyle w:val="Listenabsatz"/>
              <w:numPr>
                <w:ilvl w:val="0"/>
                <w:numId w:val="9"/>
              </w:num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Kapelle </w:t>
            </w:r>
            <w:proofErr w:type="spellStart"/>
            <w:r>
              <w:rPr>
                <w:rFonts w:ascii="Calibri" w:eastAsia="Times New Roman" w:hAnsi="Calibri" w:cs="Times New Roman"/>
                <w:sz w:val="18"/>
                <w:szCs w:val="20"/>
                <w:lang w:eastAsia="de-DE"/>
              </w:rPr>
              <w:t>Jagetzow</w:t>
            </w:r>
            <w:proofErr w:type="spellEnd"/>
            <w:r>
              <w:rPr>
                <w:rFonts w:ascii="Calibri" w:eastAsia="Times New Roman" w:hAnsi="Calibri" w:cs="Times New Roman"/>
                <w:sz w:val="18"/>
                <w:szCs w:val="20"/>
                <w:lang w:eastAsia="de-DE"/>
              </w:rPr>
              <w:t>.</w:t>
            </w:r>
          </w:p>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Eine erheblich nachteilige Wirkung auf die Baudenkmale ist aufgrund der Abstände und des WEA Standortes im Bestandswindfeld nicht zu erwarten.</w:t>
            </w:r>
          </w:p>
          <w:p>
            <w:pPr>
              <w:rPr>
                <w:rFonts w:ascii="Calibri" w:eastAsia="Times New Roman" w:hAnsi="Calibri" w:cs="Times New Roman"/>
                <w:sz w:val="18"/>
                <w:szCs w:val="20"/>
                <w:lang w:eastAsia="de-DE"/>
              </w:rPr>
            </w:pPr>
            <w:r>
              <w:rPr>
                <w:rFonts w:ascii="Calibri" w:eastAsia="Times New Roman" w:hAnsi="Calibri" w:cs="Times New Roman"/>
                <w:sz w:val="18"/>
                <w:szCs w:val="20"/>
                <w:lang w:eastAsia="de-DE"/>
              </w:rPr>
              <w:t xml:space="preserve">Im </w:t>
            </w:r>
            <w:proofErr w:type="spellStart"/>
            <w:r>
              <w:rPr>
                <w:rFonts w:ascii="Calibri" w:eastAsia="Times New Roman" w:hAnsi="Calibri" w:cs="Times New Roman"/>
                <w:sz w:val="18"/>
                <w:szCs w:val="20"/>
                <w:lang w:eastAsia="de-DE"/>
              </w:rPr>
              <w:t>Vorhabensgebiet</w:t>
            </w:r>
            <w:proofErr w:type="spellEnd"/>
            <w:r>
              <w:rPr>
                <w:rFonts w:ascii="Calibri" w:eastAsia="Times New Roman" w:hAnsi="Calibri" w:cs="Times New Roman"/>
                <w:sz w:val="18"/>
                <w:szCs w:val="20"/>
                <w:lang w:eastAsia="de-DE"/>
              </w:rPr>
              <w:t xml:space="preserve"> sind keine Bodendenkmale bekannt. </w:t>
            </w:r>
          </w:p>
          <w:p>
            <w:pPr>
              <w:rPr>
                <w:rFonts w:ascii="Calibri" w:eastAsia="Times New Roman" w:hAnsi="Calibri" w:cs="Times New Roman"/>
                <w:b/>
                <w:bCs/>
                <w:sz w:val="18"/>
                <w:szCs w:val="20"/>
                <w:lang w:eastAsia="de-DE"/>
              </w:rPr>
            </w:pPr>
            <w:r>
              <w:rPr>
                <w:rFonts w:ascii="Calibri" w:eastAsia="Times New Roman" w:hAnsi="Calibri" w:cs="Times New Roman"/>
                <w:sz w:val="18"/>
                <w:szCs w:val="20"/>
                <w:lang w:eastAsia="de-DE"/>
              </w:rPr>
              <w:t>(-)</w:t>
            </w:r>
          </w:p>
        </w:tc>
      </w:tr>
    </w:tbl>
    <w:p>
      <w:pPr>
        <w:rPr>
          <w:rFonts w:ascii="Arial" w:hAnsi="Arial" w:cs="Arial"/>
          <w:sz w:val="24"/>
        </w:rPr>
      </w:pPr>
    </w:p>
    <w:tbl>
      <w:tblPr>
        <w:tblW w:w="15168" w:type="dxa"/>
        <w:tblInd w:w="-10" w:type="dxa"/>
        <w:tblCellMar>
          <w:left w:w="70" w:type="dxa"/>
          <w:right w:w="70" w:type="dxa"/>
        </w:tblCellMar>
        <w:tblLook w:val="04A0" w:firstRow="1" w:lastRow="0" w:firstColumn="1" w:lastColumn="0" w:noHBand="0" w:noVBand="1"/>
      </w:tblPr>
      <w:tblGrid>
        <w:gridCol w:w="15168"/>
      </w:tblGrid>
      <w:tr>
        <w:trPr>
          <w:trHeight w:val="540"/>
        </w:trPr>
        <w:tc>
          <w:tcPr>
            <w:tcW w:w="15168" w:type="dxa"/>
            <w:tcBorders>
              <w:top w:val="single" w:sz="8" w:space="0" w:color="auto"/>
              <w:left w:val="single" w:sz="8" w:space="0" w:color="auto"/>
              <w:bottom w:val="single" w:sz="8" w:space="0" w:color="auto"/>
              <w:right w:val="single" w:sz="8" w:space="0" w:color="000000"/>
            </w:tcBorders>
            <w:shd w:val="clear" w:color="000000" w:fill="D9D9D9"/>
            <w:vAlign w:val="center"/>
            <w:hideMark/>
          </w:tcPr>
          <w:p>
            <w:pPr>
              <w:spacing w:after="0" w:line="240" w:lineRule="auto"/>
              <w:rPr>
                <w:rFonts w:ascii="Calibri" w:eastAsia="Times New Roman" w:hAnsi="Calibri" w:cs="Times New Roman"/>
                <w:bCs/>
                <w:sz w:val="20"/>
                <w:lang w:eastAsia="de-DE"/>
              </w:rPr>
            </w:pPr>
            <w:r>
              <w:rPr>
                <w:rFonts w:ascii="Calibri" w:eastAsia="Times New Roman" w:hAnsi="Calibri" w:cs="Times New Roman"/>
                <w:b/>
                <w:bCs/>
                <w:sz w:val="24"/>
                <w:lang w:eastAsia="de-DE"/>
              </w:rPr>
              <w:t>Zusammenfassung</w:t>
            </w:r>
          </w:p>
        </w:tc>
      </w:tr>
    </w:tbl>
    <w:tbl>
      <w:tblPr>
        <w:tblStyle w:val="Tabellenraster"/>
        <w:tblW w:w="0" w:type="auto"/>
        <w:tblLook w:val="04A0" w:firstRow="1" w:lastRow="0" w:firstColumn="1" w:lastColumn="0" w:noHBand="0" w:noVBand="1"/>
      </w:tblPr>
      <w:tblGrid>
        <w:gridCol w:w="15126"/>
      </w:tblGrid>
      <w:tr>
        <w:trPr>
          <w:trHeight w:val="3013"/>
        </w:trPr>
        <w:tc>
          <w:tcPr>
            <w:tcW w:w="15126" w:type="dxa"/>
            <w:hideMark/>
          </w:tcPr>
          <w:p>
            <w:pPr>
              <w:pStyle w:val="KeinLeerraum"/>
              <w:rPr>
                <w:rFonts w:ascii="Calibri" w:eastAsia="Times New Roman" w:hAnsi="Calibri" w:cs="Times New Roman"/>
                <w:sz w:val="20"/>
                <w:szCs w:val="20"/>
                <w:lang w:eastAsia="de-DE"/>
              </w:rPr>
            </w:pPr>
            <w:r>
              <w:rPr>
                <w:rFonts w:ascii="Calibri" w:eastAsia="Times New Roman" w:hAnsi="Calibri" w:cs="Times New Roman"/>
                <w:sz w:val="20"/>
                <w:szCs w:val="20"/>
                <w:lang w:eastAsia="de-DE"/>
              </w:rPr>
              <w:t xml:space="preserve">Aus Sicht des StALU Mecklenburgische Seenplatte sind durch die Errichtung und den Betrieb von 1 Windenergieanlagen im WEG Völschow keine erheblich nachteiligen Umweltauswirkungen zu erwarten. </w:t>
            </w:r>
          </w:p>
          <w:p>
            <w:pPr>
              <w:rPr>
                <w:rFonts w:ascii="Calibri" w:eastAsia="Times New Roman" w:hAnsi="Calibri" w:cs="Times New Roman"/>
                <w:sz w:val="20"/>
                <w:szCs w:val="20"/>
                <w:lang w:eastAsia="de-DE"/>
              </w:rPr>
            </w:pPr>
            <w:r>
              <w:rPr>
                <w:rFonts w:ascii="Calibri" w:eastAsia="Times New Roman" w:hAnsi="Calibri" w:cs="Times New Roman"/>
                <w:sz w:val="20"/>
                <w:szCs w:val="20"/>
                <w:lang w:eastAsia="de-DE"/>
              </w:rPr>
              <w:t>Die wesentlichen Gründe für das Nichtbestehen der UVP-Pflicht gemäß § 5 Abs. 2 S. 2 und 3 UVPG ergeben sich wie folgt aus der Prüfung gemäß den in Anlage 3 UVPG aufgeführten Kriterien für die Vorprüfung:</w:t>
            </w:r>
          </w:p>
          <w:p>
            <w:pPr>
              <w:rPr>
                <w:rFonts w:ascii="Calibri" w:eastAsia="Times New Roman" w:hAnsi="Calibri" w:cs="Times New Roman"/>
                <w:sz w:val="20"/>
                <w:szCs w:val="20"/>
                <w:lang w:eastAsia="de-DE"/>
              </w:rPr>
            </w:pPr>
            <w:r>
              <w:rPr>
                <w:rFonts w:ascii="Calibri" w:eastAsia="Times New Roman" w:hAnsi="Calibri" w:cs="Times New Roman"/>
                <w:sz w:val="20"/>
                <w:szCs w:val="20"/>
                <w:lang w:eastAsia="de-DE"/>
              </w:rPr>
              <w:t>Nationale oder internationale Schutzgebiete sind durch das Vorhaben nicht betroffen.</w:t>
            </w:r>
          </w:p>
          <w:p>
            <w:pPr>
              <w:rPr>
                <w:rFonts w:ascii="Calibri" w:eastAsia="Times New Roman" w:hAnsi="Calibri" w:cs="Times New Roman"/>
                <w:sz w:val="20"/>
                <w:szCs w:val="20"/>
                <w:lang w:eastAsia="de-DE"/>
              </w:rPr>
            </w:pPr>
            <w:r>
              <w:rPr>
                <w:rFonts w:ascii="Calibri" w:eastAsia="Times New Roman" w:hAnsi="Calibri" w:cs="Times New Roman"/>
                <w:sz w:val="20"/>
                <w:szCs w:val="20"/>
                <w:lang w:eastAsia="de-DE"/>
              </w:rPr>
              <w:t>Ein signifikant erhöhtes Tötungsrisiko geschützter Tierarten wird durch technische und landschaftsgestalterische Maßnahmen (z.B. zeitlich begrenzte Abschaltungen, Anlage von Lenkungsflächen</w:t>
            </w:r>
            <w:bookmarkStart w:id="0" w:name="_GoBack"/>
            <w:bookmarkEnd w:id="0"/>
            <w:r>
              <w:rPr>
                <w:rFonts w:ascii="Calibri" w:eastAsia="Times New Roman" w:hAnsi="Calibri" w:cs="Times New Roman"/>
                <w:sz w:val="20"/>
                <w:szCs w:val="20"/>
                <w:lang w:eastAsia="de-DE"/>
              </w:rPr>
              <w:t>) sicher vermieden. Ebenso werden Schallemissionen und Schattenschlag auf zulässige Richtwerte begrenzt.</w:t>
            </w:r>
          </w:p>
          <w:p>
            <w:pPr>
              <w:rPr>
                <w:rFonts w:ascii="Calibri" w:eastAsia="Times New Roman" w:hAnsi="Calibri" w:cs="Times New Roman"/>
                <w:sz w:val="20"/>
                <w:szCs w:val="20"/>
                <w:lang w:eastAsia="de-DE"/>
              </w:rPr>
            </w:pPr>
            <w:r>
              <w:rPr>
                <w:rFonts w:ascii="Calibri" w:eastAsia="Times New Roman" w:hAnsi="Calibri" w:cs="Times New Roman"/>
                <w:sz w:val="20"/>
                <w:szCs w:val="20"/>
                <w:lang w:eastAsia="de-DE"/>
              </w:rPr>
              <w:t xml:space="preserve">Auswirkungen des Baubetriebs auf die Schutzgüter sind von vorübergehendem Charakter, reversibel und nicht erheblich. </w:t>
            </w:r>
          </w:p>
          <w:p>
            <w:pPr>
              <w:rPr>
                <w:rFonts w:ascii="Calibri" w:eastAsia="Times New Roman" w:hAnsi="Calibri" w:cs="Times New Roman"/>
                <w:sz w:val="20"/>
                <w:szCs w:val="20"/>
                <w:lang w:eastAsia="de-DE"/>
              </w:rPr>
            </w:pPr>
            <w:r>
              <w:rPr>
                <w:rFonts w:ascii="Calibri" w:eastAsia="Times New Roman" w:hAnsi="Calibri" w:cs="Times New Roman"/>
                <w:sz w:val="20"/>
                <w:szCs w:val="20"/>
                <w:lang w:eastAsia="de-DE"/>
              </w:rPr>
              <w:t xml:space="preserve">Die bei der Umsetzung des Vorhabens entstehenden, nicht vermeidbaren und nachhaltigen Beeinträchtigungen von Natur und Landschaft können im Rahmen der Eingriffsregelung durch </w:t>
            </w:r>
            <w:proofErr w:type="spellStart"/>
            <w:r>
              <w:rPr>
                <w:rFonts w:ascii="Calibri" w:eastAsia="Times New Roman" w:hAnsi="Calibri" w:cs="Times New Roman"/>
                <w:sz w:val="20"/>
                <w:szCs w:val="20"/>
                <w:lang w:eastAsia="de-DE"/>
              </w:rPr>
              <w:t>landschaftpflegerische</w:t>
            </w:r>
            <w:proofErr w:type="spellEnd"/>
            <w:r>
              <w:rPr>
                <w:rFonts w:ascii="Calibri" w:eastAsia="Times New Roman" w:hAnsi="Calibri" w:cs="Times New Roman"/>
                <w:sz w:val="20"/>
                <w:szCs w:val="20"/>
                <w:lang w:eastAsia="de-DE"/>
              </w:rPr>
              <w:t xml:space="preserve"> Kompensationsmaßnahmen ausgeglichen werden.</w:t>
            </w:r>
          </w:p>
          <w:p>
            <w:pPr>
              <w:rPr>
                <w:rFonts w:ascii="Calibri" w:eastAsia="Times New Roman" w:hAnsi="Calibri" w:cs="Times New Roman"/>
                <w:sz w:val="20"/>
                <w:szCs w:val="20"/>
                <w:lang w:eastAsia="de-DE"/>
              </w:rPr>
            </w:pPr>
            <w:r>
              <w:rPr>
                <w:rFonts w:ascii="Calibri" w:eastAsia="Times New Roman" w:hAnsi="Calibri" w:cs="Times New Roman"/>
                <w:sz w:val="20"/>
                <w:szCs w:val="20"/>
                <w:lang w:eastAsia="de-DE"/>
              </w:rPr>
              <w:t>Die Auswirkungen dauern über den Zeitraum des Betriebes der Anlagen an. Nach Ende der Betriebsphase sind die Anlagen vollständig zurück zu bauen.</w:t>
            </w:r>
          </w:p>
        </w:tc>
      </w:tr>
    </w:tbl>
    <w:p>
      <w:pPr>
        <w:rPr>
          <w:rFonts w:cs="Arial"/>
          <w:sz w:val="24"/>
        </w:rPr>
      </w:pPr>
    </w:p>
    <w:tbl>
      <w:tblPr>
        <w:tblStyle w:val="Tabellenraster"/>
        <w:tblW w:w="15126" w:type="dxa"/>
        <w:tblLook w:val="04A0" w:firstRow="1" w:lastRow="0" w:firstColumn="1" w:lastColumn="0" w:noHBand="0" w:noVBand="1"/>
      </w:tblPr>
      <w:tblGrid>
        <w:gridCol w:w="15126"/>
      </w:tblGrid>
      <w:tr>
        <w:tc>
          <w:tcPr>
            <w:tcW w:w="15126" w:type="dxa"/>
            <w:shd w:val="clear" w:color="auto" w:fill="BFBFBF" w:themeFill="background1" w:themeFillShade="BF"/>
          </w:tcPr>
          <w:p>
            <w:pPr>
              <w:jc w:val="center"/>
              <w:rPr>
                <w:rFonts w:ascii="Arial" w:hAnsi="Arial" w:cs="Arial"/>
                <w:sz w:val="24"/>
              </w:rPr>
            </w:pPr>
            <w:r>
              <w:rPr>
                <w:rFonts w:ascii="Calibri" w:eastAsia="Times New Roman" w:hAnsi="Calibri" w:cs="Times New Roman"/>
                <w:b/>
                <w:bCs/>
                <w:sz w:val="24"/>
                <w:lang w:eastAsia="de-DE"/>
              </w:rPr>
              <w:t>Ergebnis der allgemeinen Vorprüfung des Einzelfalls</w:t>
            </w:r>
          </w:p>
        </w:tc>
      </w:tr>
      <w:tr>
        <w:tc>
          <w:tcPr>
            <w:tcW w:w="15126" w:type="dxa"/>
            <w:shd w:val="clear" w:color="auto" w:fill="92D050"/>
          </w:tcPr>
          <w:p>
            <w:pPr>
              <w:jc w:val="center"/>
              <w:rPr>
                <w:rFonts w:ascii="Arial" w:hAnsi="Arial" w:cs="Arial"/>
                <w:sz w:val="24"/>
              </w:rPr>
            </w:pPr>
            <w:r>
              <w:rPr>
                <w:rFonts w:ascii="Calibri" w:eastAsia="Times New Roman" w:hAnsi="Calibri" w:cs="Times New Roman"/>
                <w:bCs/>
                <w:sz w:val="24"/>
                <w:szCs w:val="28"/>
                <w:lang w:eastAsia="de-DE"/>
              </w:rPr>
              <w:t xml:space="preserve">Die Vorprüfung ergibt, dass nach den Maßstäben des § 7 Abs. 1 UVPG in der aktuell gültigen Fassung </w:t>
            </w:r>
            <w:r>
              <w:rPr>
                <w:rFonts w:ascii="Calibri" w:eastAsia="Times New Roman" w:hAnsi="Calibri" w:cs="Times New Roman"/>
                <w:b/>
                <w:bCs/>
                <w:sz w:val="24"/>
                <w:szCs w:val="28"/>
                <w:lang w:eastAsia="de-DE"/>
              </w:rPr>
              <w:t>keine UVP-Pflicht</w:t>
            </w:r>
            <w:r>
              <w:rPr>
                <w:rFonts w:ascii="Calibri" w:eastAsia="Times New Roman" w:hAnsi="Calibri" w:cs="Times New Roman"/>
                <w:bCs/>
                <w:sz w:val="24"/>
                <w:szCs w:val="28"/>
                <w:lang w:eastAsia="de-DE"/>
              </w:rPr>
              <w:t xml:space="preserve"> für dieses Vorhaben besteht.</w:t>
            </w:r>
          </w:p>
        </w:tc>
      </w:tr>
    </w:tbl>
    <w:p>
      <w:pPr>
        <w:rPr>
          <w:rFonts w:cs="Arial"/>
          <w:sz w:val="24"/>
        </w:rPr>
      </w:pPr>
      <w:r>
        <w:rPr>
          <w:rFonts w:cs="Arial"/>
          <w:sz w:val="24"/>
        </w:rPr>
        <w:lastRenderedPageBreak/>
        <w:t xml:space="preserve"> </w:t>
      </w:r>
    </w:p>
    <w:p>
      <w:pPr>
        <w:rPr>
          <w:rFonts w:cs="Arial"/>
          <w:sz w:val="24"/>
        </w:rPr>
      </w:pPr>
      <w:r>
        <w:rPr>
          <w:rFonts w:cs="Arial"/>
          <w:b/>
          <w:sz w:val="24"/>
        </w:rPr>
        <w:t>Datengrundlagen</w:t>
      </w:r>
    </w:p>
    <w:p>
      <w:pPr>
        <w:pStyle w:val="KeinLeerraum"/>
      </w:pPr>
      <w:r>
        <w:rPr>
          <w:sz w:val="20"/>
        </w:rPr>
        <w:t>„</w:t>
      </w:r>
      <w:r>
        <w:t>Allgemeine Vorprüfung des Einzelfalls zur Umweltverträglichkeitsprüfung“; Ing.-Büro Kriese (14.01.2020)</w:t>
      </w:r>
    </w:p>
    <w:p>
      <w:pPr>
        <w:pStyle w:val="KeinLeerraum"/>
      </w:pPr>
      <w:r>
        <w:t>„Landschaftspflegerischer Begleitplan (LBP)“ Windpark Völschow-Ost; WEA 05“, Ing.-Büro Kriese (06.05.2020)</w:t>
      </w:r>
    </w:p>
    <w:p>
      <w:pPr>
        <w:pStyle w:val="KeinLeerraum"/>
      </w:pPr>
      <w:r>
        <w:t>„Spezielle Artenschutzrechtliche Prüfung (</w:t>
      </w:r>
      <w:proofErr w:type="spellStart"/>
      <w:r>
        <w:t>sAP</w:t>
      </w:r>
      <w:proofErr w:type="spellEnd"/>
      <w:r>
        <w:t>), Artenschutzfachbeitrag (AFB)“, „</w:t>
      </w:r>
      <w:r>
        <w:t>Windpark Völschow-Ost; WEA 05</w:t>
      </w:r>
      <w:r>
        <w:t>“, Ing.-Büro Kriese (06.05.2020)</w:t>
      </w:r>
    </w:p>
    <w:p>
      <w:pPr>
        <w:pStyle w:val="KeinLeerraum"/>
      </w:pPr>
      <w:r>
        <w:t>WMS-Dienst des Geoportal-MV (Stand März 2022)</w:t>
      </w:r>
    </w:p>
    <w:p>
      <w:pPr>
        <w:pStyle w:val="KeinLeerraum"/>
      </w:pPr>
      <w:r>
        <w:t xml:space="preserve">Landesverordnung über die Natura 2000-Gebiete in Mecklenburg-Vorpommern </w:t>
      </w:r>
      <w:r>
        <w:br/>
        <w:t>(Natura 2000-Gebiete-Landesverordnung - Natura 2000-LVO M-V), 12. Juli 2011</w:t>
      </w:r>
    </w:p>
    <w:p>
      <w:pPr>
        <w:pStyle w:val="KeinLeerraum"/>
      </w:pPr>
      <w:r>
        <w:t xml:space="preserve">„Kartierung ausgewählter Vogelarten für die Planung einer Erweiterung des Windparks Völschow (Völschow Nord und West) April bis Juli 2019“, </w:t>
      </w:r>
    </w:p>
    <w:p>
      <w:pPr>
        <w:pStyle w:val="KeinLeerraum"/>
      </w:pPr>
      <w:r>
        <w:t>ILN Greifswald (August 2019)</w:t>
      </w:r>
    </w:p>
    <w:p>
      <w:pPr>
        <w:pStyle w:val="KeinLeerraum"/>
      </w:pPr>
    </w:p>
    <w:p>
      <w:pPr>
        <w:pStyle w:val="KeinLeerraum"/>
      </w:pPr>
    </w:p>
    <w:sectPr>
      <w:headerReference w:type="default" r:id="rId8"/>
      <w:footerReference w:type="default" r:id="rId9"/>
      <w:pgSz w:w="16838" w:h="11906" w:orient="landscape" w:code="9"/>
      <w:pgMar w:top="1134" w:right="851" w:bottom="567"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pPr>
    <w:r>
      <w:ptab w:relativeTo="margin" w:alignment="center" w:leader="none"/>
    </w:r>
    <w:r>
      <w:fldChar w:fldCharType="begin"/>
    </w:r>
    <w:r>
      <w:instrText xml:space="preserve"> PAGE  \* Arabic  \* MERGEFORMAT </w:instrText>
    </w:r>
    <w:r>
      <w:fldChar w:fldCharType="separate"/>
    </w:r>
    <w:r>
      <w:rPr>
        <w:noProof/>
      </w:rPr>
      <w:t>10</w:t>
    </w:r>
    <w:r>
      <w:fldChar w:fldCharType="end"/>
    </w:r>
    <w:r>
      <w:t xml:space="preserve"> von </w:t>
    </w:r>
    <w:fldSimple w:instr=" NUMPAGES  \* Arabic  \* MERGEFORMAT ">
      <w:r>
        <w:rPr>
          <w:noProof/>
        </w:rPr>
        <w:t>10</w:t>
      </w:r>
    </w:fldSimple>
    <w:r>
      <w:ptab w:relativeTo="margin" w:alignment="right" w:leader="none"/>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jc w:val="center"/>
      <w:rPr>
        <w:b/>
        <w:sz w:val="16"/>
      </w:rPr>
    </w:pPr>
    <w:r>
      <w:rPr>
        <w:b/>
        <w:sz w:val="16"/>
      </w:rPr>
      <w:t>Staatliches Amt für Landwirtschaft und Umwelt Mecklenburgische Seenplatte</w:t>
    </w:r>
    <w:r>
      <w:rPr>
        <w:b/>
        <w:sz w:val="16"/>
      </w:rPr>
      <w:tab/>
    </w:r>
    <w:r>
      <w:rPr>
        <w:sz w:val="14"/>
      </w:rPr>
      <w:t>Errichtung und Betrieb von einer WEA im WEG Völschow</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F29F8"/>
    <w:multiLevelType w:val="hybridMultilevel"/>
    <w:tmpl w:val="39EC7D1A"/>
    <w:lvl w:ilvl="0" w:tplc="168C37E8">
      <w:start w:val="1"/>
      <w:numFmt w:val="bullet"/>
      <w:lvlText w:val="-"/>
      <w:lvlJc w:val="left"/>
      <w:pPr>
        <w:ind w:left="720" w:hanging="360"/>
      </w:pPr>
      <w:rPr>
        <w:rFonts w:ascii="Calibri" w:eastAsia="Times New Roman" w:hAnsi="Calibri"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D8D1E7A"/>
    <w:multiLevelType w:val="hybridMultilevel"/>
    <w:tmpl w:val="B15ED97A"/>
    <w:lvl w:ilvl="0" w:tplc="225C67EE">
      <w:start w:val="1"/>
      <w:numFmt w:val="bullet"/>
      <w:lvlText w:val="-"/>
      <w:lvlJc w:val="left"/>
      <w:pPr>
        <w:ind w:left="720" w:hanging="360"/>
      </w:pPr>
      <w:rPr>
        <w:rFonts w:ascii="Calibri" w:eastAsia="Times New Roman" w:hAnsi="Calibri" w:cs="Times New Roman"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88D1BA1"/>
    <w:multiLevelType w:val="hybridMultilevel"/>
    <w:tmpl w:val="5212DF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10F7B6E"/>
    <w:multiLevelType w:val="hybridMultilevel"/>
    <w:tmpl w:val="E600252C"/>
    <w:lvl w:ilvl="0" w:tplc="3E023AC4">
      <w:start w:val="1"/>
      <w:numFmt w:val="bullet"/>
      <w:lvlText w:val="-"/>
      <w:lvlJc w:val="left"/>
      <w:pPr>
        <w:ind w:left="720" w:hanging="360"/>
      </w:pPr>
      <w:rPr>
        <w:rFonts w:ascii="Calibri" w:eastAsia="Times New Roman" w:hAnsi="Calibri" w:cs="Times New Roman"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7A06423"/>
    <w:multiLevelType w:val="hybridMultilevel"/>
    <w:tmpl w:val="B03456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A592E11"/>
    <w:multiLevelType w:val="hybridMultilevel"/>
    <w:tmpl w:val="C038AEC8"/>
    <w:lvl w:ilvl="0" w:tplc="9202C8B8">
      <w:start w:val="1"/>
      <w:numFmt w:val="bullet"/>
      <w:lvlText w:val="-"/>
      <w:lvlJc w:val="left"/>
      <w:pPr>
        <w:ind w:left="1140" w:hanging="360"/>
      </w:pPr>
      <w:rPr>
        <w:rFonts w:ascii="Arial" w:eastAsia="Times New Roman" w:hAnsi="Arial" w:cs="Arial" w:hint="default"/>
      </w:rPr>
    </w:lvl>
    <w:lvl w:ilvl="1" w:tplc="04070003" w:tentative="1">
      <w:start w:val="1"/>
      <w:numFmt w:val="bullet"/>
      <w:lvlText w:val="o"/>
      <w:lvlJc w:val="left"/>
      <w:pPr>
        <w:ind w:left="1860" w:hanging="360"/>
      </w:pPr>
      <w:rPr>
        <w:rFonts w:ascii="Courier New" w:hAnsi="Courier New" w:cs="Courier New" w:hint="default"/>
      </w:rPr>
    </w:lvl>
    <w:lvl w:ilvl="2" w:tplc="04070005" w:tentative="1">
      <w:start w:val="1"/>
      <w:numFmt w:val="bullet"/>
      <w:lvlText w:val=""/>
      <w:lvlJc w:val="left"/>
      <w:pPr>
        <w:ind w:left="2580" w:hanging="360"/>
      </w:pPr>
      <w:rPr>
        <w:rFonts w:ascii="Wingdings" w:hAnsi="Wingdings" w:hint="default"/>
      </w:rPr>
    </w:lvl>
    <w:lvl w:ilvl="3" w:tplc="04070001" w:tentative="1">
      <w:start w:val="1"/>
      <w:numFmt w:val="bullet"/>
      <w:lvlText w:val=""/>
      <w:lvlJc w:val="left"/>
      <w:pPr>
        <w:ind w:left="3300" w:hanging="360"/>
      </w:pPr>
      <w:rPr>
        <w:rFonts w:ascii="Symbol" w:hAnsi="Symbol" w:hint="default"/>
      </w:rPr>
    </w:lvl>
    <w:lvl w:ilvl="4" w:tplc="04070003" w:tentative="1">
      <w:start w:val="1"/>
      <w:numFmt w:val="bullet"/>
      <w:lvlText w:val="o"/>
      <w:lvlJc w:val="left"/>
      <w:pPr>
        <w:ind w:left="4020" w:hanging="360"/>
      </w:pPr>
      <w:rPr>
        <w:rFonts w:ascii="Courier New" w:hAnsi="Courier New" w:cs="Courier New" w:hint="default"/>
      </w:rPr>
    </w:lvl>
    <w:lvl w:ilvl="5" w:tplc="04070005" w:tentative="1">
      <w:start w:val="1"/>
      <w:numFmt w:val="bullet"/>
      <w:lvlText w:val=""/>
      <w:lvlJc w:val="left"/>
      <w:pPr>
        <w:ind w:left="4740" w:hanging="360"/>
      </w:pPr>
      <w:rPr>
        <w:rFonts w:ascii="Wingdings" w:hAnsi="Wingdings" w:hint="default"/>
      </w:rPr>
    </w:lvl>
    <w:lvl w:ilvl="6" w:tplc="04070001" w:tentative="1">
      <w:start w:val="1"/>
      <w:numFmt w:val="bullet"/>
      <w:lvlText w:val=""/>
      <w:lvlJc w:val="left"/>
      <w:pPr>
        <w:ind w:left="5460" w:hanging="360"/>
      </w:pPr>
      <w:rPr>
        <w:rFonts w:ascii="Symbol" w:hAnsi="Symbol" w:hint="default"/>
      </w:rPr>
    </w:lvl>
    <w:lvl w:ilvl="7" w:tplc="04070003" w:tentative="1">
      <w:start w:val="1"/>
      <w:numFmt w:val="bullet"/>
      <w:lvlText w:val="o"/>
      <w:lvlJc w:val="left"/>
      <w:pPr>
        <w:ind w:left="6180" w:hanging="360"/>
      </w:pPr>
      <w:rPr>
        <w:rFonts w:ascii="Courier New" w:hAnsi="Courier New" w:cs="Courier New" w:hint="default"/>
      </w:rPr>
    </w:lvl>
    <w:lvl w:ilvl="8" w:tplc="04070005" w:tentative="1">
      <w:start w:val="1"/>
      <w:numFmt w:val="bullet"/>
      <w:lvlText w:val=""/>
      <w:lvlJc w:val="left"/>
      <w:pPr>
        <w:ind w:left="6900" w:hanging="360"/>
      </w:pPr>
      <w:rPr>
        <w:rFonts w:ascii="Wingdings" w:hAnsi="Wingdings" w:hint="default"/>
      </w:rPr>
    </w:lvl>
  </w:abstractNum>
  <w:abstractNum w:abstractNumId="6" w15:restartNumberingAfterBreak="0">
    <w:nsid w:val="44B05BC5"/>
    <w:multiLevelType w:val="hybridMultilevel"/>
    <w:tmpl w:val="B58EA7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FCD0838"/>
    <w:multiLevelType w:val="hybridMultilevel"/>
    <w:tmpl w:val="733A143C"/>
    <w:lvl w:ilvl="0" w:tplc="5A6666A4">
      <w:start w:val="1"/>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C3B5CD9"/>
    <w:multiLevelType w:val="hybridMultilevel"/>
    <w:tmpl w:val="5D32B746"/>
    <w:lvl w:ilvl="0" w:tplc="0AC69DCE">
      <w:start w:val="1"/>
      <w:numFmt w:val="bullet"/>
      <w:lvlText w:val="-"/>
      <w:lvlJc w:val="left"/>
      <w:pPr>
        <w:ind w:left="720" w:hanging="360"/>
      </w:pPr>
      <w:rPr>
        <w:rFonts w:ascii="Calibri" w:eastAsia="Times New Roman" w:hAnsi="Calibri" w:cs="Times New Roman"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1"/>
  </w:num>
  <w:num w:numId="4">
    <w:abstractNumId w:val="4"/>
  </w:num>
  <w:num w:numId="5">
    <w:abstractNumId w:val="0"/>
  </w:num>
  <w:num w:numId="6">
    <w:abstractNumId w:val="5"/>
  </w:num>
  <w:num w:numId="7">
    <w:abstractNumId w:val="6"/>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proofState w:spelling="clean" w:grammar="clean"/>
  <w:defaultTabStop w:val="708"/>
  <w:autoHyphenation/>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7A381609-FD21-490C-A047-05BF09A10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Pr>
      <w:rFonts w:ascii="Segoe UI" w:hAnsi="Segoe UI" w:cs="Segoe UI"/>
      <w:sz w:val="18"/>
      <w:szCs w:val="18"/>
    </w:rPr>
  </w:style>
  <w:style w:type="paragraph" w:styleId="Kopfzeile">
    <w:name w:val="header"/>
    <w:basedOn w:val="Standard"/>
    <w:link w:val="KopfzeileZchn"/>
    <w:uiPriority w:val="99"/>
    <w:unhideWhenUse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tyle>
  <w:style w:type="paragraph" w:styleId="Fuzeile">
    <w:name w:val="footer"/>
    <w:basedOn w:val="Standard"/>
    <w:link w:val="FuzeileZchn"/>
    <w:uiPriority w:val="99"/>
    <w:unhideWhenUsed/>
    <w:pPr>
      <w:tabs>
        <w:tab w:val="center" w:pos="4536"/>
        <w:tab w:val="right" w:pos="9072"/>
      </w:tabs>
      <w:spacing w:after="0" w:line="240" w:lineRule="auto"/>
    </w:pPr>
  </w:style>
  <w:style w:type="character" w:customStyle="1" w:styleId="FuzeileZchn">
    <w:name w:val="Fußzeile Zchn"/>
    <w:basedOn w:val="Absatz-Standardschriftart"/>
    <w:link w:val="Fuzeile"/>
    <w:uiPriority w:val="99"/>
  </w:style>
  <w:style w:type="paragraph" w:styleId="KeinLeerraum">
    <w:name w:val="No Spacing"/>
    <w:uiPriority w:val="1"/>
    <w:qFormat/>
    <w:pPr>
      <w:spacing w:after="0" w:line="240" w:lineRule="auto"/>
    </w:pPr>
  </w:style>
  <w:style w:type="paragraph" w:styleId="Listenabsatz">
    <w:name w:val="List Paragraph"/>
    <w:basedOn w:val="Standard"/>
    <w:uiPriority w:val="34"/>
    <w:qFormat/>
    <w:pPr>
      <w:ind w:left="720"/>
      <w:contextualSpacing/>
    </w:pPr>
  </w:style>
  <w:style w:type="paragraph" w:customStyle="1" w:styleId="Verfgungspunkt">
    <w:name w:val="Verfügungspunkt"/>
    <w:pPr>
      <w:spacing w:after="240" w:line="312" w:lineRule="auto"/>
    </w:pPr>
    <w:rPr>
      <w:rFonts w:ascii="Arial" w:eastAsia="Times New Roman" w:hAnsi="Arial" w:cs="Times New Roman"/>
      <w:b/>
      <w:sz w:val="24"/>
      <w:szCs w:val="20"/>
      <w:lang w:eastAsia="de-DE"/>
    </w:rPr>
  </w:style>
  <w:style w:type="paragraph" w:customStyle="1" w:styleId="Leerzeile">
    <w:name w:val="Leerzeile"/>
    <w:pPr>
      <w:spacing w:after="0" w:line="240" w:lineRule="auto"/>
    </w:pPr>
    <w:rPr>
      <w:rFonts w:ascii="Arial" w:eastAsia="Times New Roman" w:hAnsi="Arial" w:cs="Times New Roman"/>
      <w:sz w:val="24"/>
      <w:szCs w:val="20"/>
      <w:lang w:eastAsia="de-DE"/>
    </w:rPr>
  </w:style>
  <w:style w:type="paragraph" w:customStyle="1" w:styleId="TextallgemeinText">
    <w:name w:val="Text allgemein Text"/>
    <w:basedOn w:val="Standard"/>
    <w:pPr>
      <w:spacing w:after="0" w:line="240" w:lineRule="auto"/>
    </w:pPr>
    <w:rPr>
      <w:rFonts w:ascii="Times New Roman" w:eastAsia="Times New Roman" w:hAnsi="Times New Roman" w:cs="Times New Roman"/>
      <w:sz w:val="20"/>
      <w:szCs w:val="20"/>
      <w:lang w:eastAsia="de-DE"/>
    </w:rPr>
  </w:style>
  <w:style w:type="paragraph" w:styleId="Textkrper">
    <w:name w:val="Body Text"/>
    <w:basedOn w:val="Standard"/>
    <w:link w:val="TextkrperZchn"/>
    <w:semiHidden/>
    <w:pPr>
      <w:spacing w:after="0" w:line="240" w:lineRule="auto"/>
    </w:pPr>
    <w:rPr>
      <w:rFonts w:ascii="Times New Roman" w:eastAsia="Times New Roman" w:hAnsi="Times New Roman" w:cs="Times New Roman"/>
      <w:sz w:val="24"/>
      <w:szCs w:val="20"/>
      <w:lang w:eastAsia="de-DE"/>
    </w:rPr>
  </w:style>
  <w:style w:type="character" w:customStyle="1" w:styleId="TextkrperZchn">
    <w:name w:val="Textkörper Zchn"/>
    <w:basedOn w:val="Absatz-Standardschriftart"/>
    <w:link w:val="Textkrper"/>
    <w:semiHidden/>
    <w:rPr>
      <w:rFonts w:ascii="Times New Roman" w:eastAsia="Times New Roman" w:hAnsi="Times New Roman" w:cs="Times New Roman"/>
      <w:sz w:val="24"/>
      <w:szCs w:val="20"/>
      <w:lang w:eastAsia="de-DE"/>
    </w:rPr>
  </w:style>
  <w:style w:type="paragraph" w:styleId="Textkrper2">
    <w:name w:val="Body Text 2"/>
    <w:basedOn w:val="Standard"/>
    <w:link w:val="Textkrper2Zchn"/>
    <w:uiPriority w:val="99"/>
    <w:semiHidden/>
    <w:unhideWhenUsed/>
    <w:pPr>
      <w:spacing w:after="120" w:line="480" w:lineRule="auto"/>
    </w:pPr>
    <w:rPr>
      <w:rFonts w:ascii="Arial" w:eastAsia="Times New Roman" w:hAnsi="Arial" w:cs="Times New Roman"/>
      <w:szCs w:val="24"/>
      <w:lang w:eastAsia="de-DE"/>
    </w:rPr>
  </w:style>
  <w:style w:type="character" w:customStyle="1" w:styleId="Textkrper2Zchn">
    <w:name w:val="Textkörper 2 Zchn"/>
    <w:basedOn w:val="Absatz-Standardschriftart"/>
    <w:link w:val="Textkrper2"/>
    <w:uiPriority w:val="99"/>
    <w:semiHidden/>
    <w:rPr>
      <w:rFonts w:ascii="Arial" w:eastAsia="Times New Roman" w:hAnsi="Arial" w:cs="Times New Roman"/>
      <w:szCs w:val="24"/>
      <w:lang w:eastAsia="de-DE"/>
    </w:rPr>
  </w:style>
  <w:style w:type="paragraph" w:customStyle="1" w:styleId="Default">
    <w:name w:val="Default"/>
    <w:pPr>
      <w:autoSpaceDE w:val="0"/>
      <w:autoSpaceDN w:val="0"/>
      <w:adjustRightInd w:val="0"/>
      <w:spacing w:after="0" w:line="240" w:lineRule="auto"/>
    </w:pPr>
    <w:rPr>
      <w:rFonts w:ascii="Arial" w:eastAsia="Times New Roman" w:hAnsi="Arial" w:cs="Arial"/>
      <w:color w:val="000000"/>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200568">
      <w:bodyDiv w:val="1"/>
      <w:marLeft w:val="0"/>
      <w:marRight w:val="0"/>
      <w:marTop w:val="0"/>
      <w:marBottom w:val="0"/>
      <w:divBdr>
        <w:top w:val="none" w:sz="0" w:space="0" w:color="auto"/>
        <w:left w:val="none" w:sz="0" w:space="0" w:color="auto"/>
        <w:bottom w:val="none" w:sz="0" w:space="0" w:color="auto"/>
        <w:right w:val="none" w:sz="0" w:space="0" w:color="auto"/>
      </w:divBdr>
    </w:div>
    <w:div w:id="494881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7D662-4D10-44AE-890D-7DC96D9BC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3C4BDD5.dotm</Template>
  <TotalTime>0</TotalTime>
  <Pages>10</Pages>
  <Words>3313</Words>
  <Characters>20873</Characters>
  <Application>Microsoft Office Word</Application>
  <DocSecurity>0</DocSecurity>
  <Lines>173</Lines>
  <Paragraphs>48</Paragraphs>
  <ScaleCrop>false</ScaleCrop>
  <HeadingPairs>
    <vt:vector size="2" baseType="variant">
      <vt:variant>
        <vt:lpstr>Titel</vt:lpstr>
      </vt:variant>
      <vt:variant>
        <vt:i4>1</vt:i4>
      </vt:variant>
    </vt:vector>
  </HeadingPairs>
  <TitlesOfParts>
    <vt:vector size="1" baseType="lpstr">
      <vt:lpstr/>
    </vt:vector>
  </TitlesOfParts>
  <Company>LM M-V</Company>
  <LinksUpToDate>false</LinksUpToDate>
  <CharactersWithSpaces>24138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StALU MS-51f (Herr Krüger)</dc:creator>
  <cp:keywords/>
  <dc:description/>
  <cp:lastModifiedBy>StALU MS-51a (Frau Matzdorf)</cp:lastModifiedBy>
  <cp:revision>7</cp:revision>
  <cp:lastPrinted>2022-03-07T09:42:00Z</cp:lastPrinted>
  <dcterms:created xsi:type="dcterms:W3CDTF">2022-03-30T08:43:00Z</dcterms:created>
  <dcterms:modified xsi:type="dcterms:W3CDTF">2022-05-31T07:52:00Z</dcterms:modified>
</cp:coreProperties>
</file>